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937" w:rsidRPr="00687897" w:rsidRDefault="00243937" w:rsidP="000A2C07">
      <w:pPr>
        <w:spacing w:before="60" w:after="60" w:line="240" w:lineRule="auto"/>
        <w:jc w:val="center"/>
        <w:rPr>
          <w:b/>
          <w:color w:val="B4191D"/>
          <w:sz w:val="21"/>
          <w:szCs w:val="21"/>
        </w:rPr>
      </w:pPr>
      <w:r w:rsidRPr="00687897">
        <w:rPr>
          <w:b/>
          <w:color w:val="B4191D"/>
          <w:sz w:val="21"/>
          <w:szCs w:val="21"/>
        </w:rPr>
        <w:t>Avaliação da Integração da Perspetiva da Igualdade entre Homens e Mulheres e Iguald</w:t>
      </w:r>
      <w:r w:rsidR="00371711">
        <w:rPr>
          <w:b/>
          <w:color w:val="B4191D"/>
          <w:sz w:val="21"/>
          <w:szCs w:val="21"/>
        </w:rPr>
        <w:t>ade de Oportunidades e da não di</w:t>
      </w:r>
      <w:r w:rsidRPr="00687897">
        <w:rPr>
          <w:b/>
          <w:color w:val="B4191D"/>
          <w:sz w:val="21"/>
          <w:szCs w:val="21"/>
        </w:rPr>
        <w:t>scriminação, em operações cofinanciadas</w:t>
      </w:r>
    </w:p>
    <w:p w:rsidR="000A2C07" w:rsidRPr="00687897" w:rsidRDefault="000A2C07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0" w:type="auto"/>
        <w:jc w:val="center"/>
        <w:shd w:val="clear" w:color="auto" w:fill="3E95D4"/>
        <w:tblLook w:val="04A0" w:firstRow="1" w:lastRow="0" w:firstColumn="1" w:lastColumn="0" w:noHBand="0" w:noVBand="1"/>
      </w:tblPr>
      <w:tblGrid>
        <w:gridCol w:w="9747"/>
      </w:tblGrid>
      <w:tr w:rsidR="000A2C07" w:rsidRPr="00687897" w:rsidTr="00CC3BC8">
        <w:trPr>
          <w:trHeight w:val="170"/>
          <w:jc w:val="center"/>
        </w:trPr>
        <w:tc>
          <w:tcPr>
            <w:tcW w:w="9747" w:type="dxa"/>
            <w:shd w:val="clear" w:color="auto" w:fill="3E95D4"/>
            <w:vAlign w:val="center"/>
          </w:tcPr>
          <w:p w:rsidR="000A2C07" w:rsidRPr="00687897" w:rsidRDefault="000A2C07" w:rsidP="00CC3BC8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Identificação da Operação e do Beneficiário</w:t>
            </w:r>
          </w:p>
        </w:tc>
      </w:tr>
    </w:tbl>
    <w:p w:rsidR="000A2C07" w:rsidRPr="00687897" w:rsidRDefault="000A2C07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Style w:val="Tabelacomgrelha"/>
        <w:tblW w:w="0" w:type="auto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  <w:insideH w:val="single" w:sz="4" w:space="0" w:color="17365D" w:themeColor="text2" w:themeShade="BF"/>
          <w:insideV w:val="single" w:sz="4" w:space="0" w:color="17365D" w:themeColor="text2" w:themeShade="B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7"/>
        <w:gridCol w:w="3544"/>
        <w:gridCol w:w="2410"/>
      </w:tblGrid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Entidade beneficiária: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NIF, acrónimo e/ou nome da entidade beneficiária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Nº da Candidatura (Código Universal):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sz w:val="18"/>
                <w:szCs w:val="18"/>
              </w:rPr>
            </w:pPr>
            <w:proofErr w:type="gramStart"/>
            <w:r w:rsidRPr="00687897">
              <w:rPr>
                <w:color w:val="000000"/>
                <w:sz w:val="18"/>
                <w:szCs w:val="18"/>
                <w:lang w:eastAsia="pt-PT"/>
              </w:rPr>
              <w:t>XXXXXX(PO</w:t>
            </w:r>
            <w:proofErr w:type="gramEnd"/>
            <w:r w:rsidRPr="00687897">
              <w:rPr>
                <w:color w:val="000000"/>
                <w:sz w:val="18"/>
                <w:szCs w:val="18"/>
                <w:lang w:eastAsia="pt-PT"/>
              </w:rPr>
              <w:t>) – 99(Eixo) – 99999(PI/TI) -FUNDO (FEDER, FC, FSE, FEADER, FEAMP) – 999999 (nº sequencial dentro do PO  e da TI)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Título da operação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  <w:highlight w:val="yellow"/>
              </w:rPr>
            </w:pPr>
            <w:r w:rsidRPr="00687897">
              <w:rPr>
                <w:b/>
                <w:sz w:val="18"/>
                <w:szCs w:val="18"/>
              </w:rPr>
              <w:t>Tipologia de operação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>Número da TO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Concurso (Aviso):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 xml:space="preserve">XXXXXX (PO) - </w:t>
            </w:r>
            <w:proofErr w:type="gramStart"/>
            <w:r w:rsidRPr="00687897">
              <w:rPr>
                <w:color w:val="000000"/>
                <w:sz w:val="18"/>
                <w:szCs w:val="18"/>
                <w:lang w:eastAsia="pt-PT"/>
              </w:rPr>
              <w:t>99(TI</w:t>
            </w:r>
            <w:proofErr w:type="gramEnd"/>
            <w:r w:rsidRPr="00687897">
              <w:rPr>
                <w:color w:val="000000"/>
                <w:sz w:val="18"/>
                <w:szCs w:val="18"/>
                <w:lang w:eastAsia="pt-PT"/>
              </w:rPr>
              <w:t>) - 9999(ANO) - 99(sequência no PO/Ano</w:t>
            </w:r>
            <w:r w:rsidRPr="00687897">
              <w:rPr>
                <w:sz w:val="18"/>
                <w:szCs w:val="18"/>
              </w:rPr>
              <w:t>)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submissão da candidatura: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sz w:val="18"/>
                <w:szCs w:val="18"/>
                <w:highlight w:val="yellow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início da operação:</w:t>
            </w:r>
          </w:p>
        </w:tc>
        <w:tc>
          <w:tcPr>
            <w:tcW w:w="1417" w:type="dxa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  <w:tc>
          <w:tcPr>
            <w:tcW w:w="3544" w:type="dxa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fim da operação:</w:t>
            </w:r>
          </w:p>
        </w:tc>
        <w:tc>
          <w:tcPr>
            <w:tcW w:w="2410" w:type="dxa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aprovação da operação: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</w:tbl>
    <w:p w:rsidR="00671D21" w:rsidRPr="00687897" w:rsidRDefault="00671D21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</w:tblBorders>
        <w:shd w:val="clear" w:color="auto" w:fill="17365D" w:themeFill="text2" w:themeFillShade="BF"/>
        <w:tblLook w:val="04A0" w:firstRow="1" w:lastRow="0" w:firstColumn="1" w:lastColumn="0" w:noHBand="0" w:noVBand="1"/>
      </w:tblPr>
      <w:tblGrid>
        <w:gridCol w:w="9747"/>
      </w:tblGrid>
      <w:tr w:rsidR="00671D21" w:rsidRPr="00687897" w:rsidTr="00CC3BC8">
        <w:trPr>
          <w:trHeight w:val="170"/>
        </w:trPr>
        <w:tc>
          <w:tcPr>
            <w:tcW w:w="9747" w:type="dxa"/>
            <w:shd w:val="clear" w:color="auto" w:fill="3E95D4"/>
            <w:vAlign w:val="center"/>
          </w:tcPr>
          <w:p w:rsidR="00671D21" w:rsidRPr="00687897" w:rsidRDefault="00671D21" w:rsidP="00687897">
            <w:pPr>
              <w:spacing w:before="20" w:after="2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Igualdade entre Homens e Mulheres e Iguald</w:t>
            </w:r>
            <w:r w:rsidR="00371711">
              <w:rPr>
                <w:b/>
                <w:color w:val="FFFFFF" w:themeColor="background1"/>
                <w:sz w:val="20"/>
                <w:szCs w:val="20"/>
              </w:rPr>
              <w:t>ade de Oportunidades e da não di</w:t>
            </w:r>
            <w:r w:rsidRPr="00687897">
              <w:rPr>
                <w:b/>
                <w:color w:val="FFFFFF" w:themeColor="background1"/>
                <w:sz w:val="20"/>
                <w:szCs w:val="20"/>
              </w:rPr>
              <w:t>scriminação</w:t>
            </w:r>
          </w:p>
          <w:p w:rsidR="00671D21" w:rsidRPr="00687897" w:rsidRDefault="00671D21" w:rsidP="00687897">
            <w:pPr>
              <w:spacing w:before="20" w:after="20" w:line="240" w:lineRule="auto"/>
              <w:jc w:val="center"/>
              <w:rPr>
                <w:b/>
                <w:i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i/>
                <w:color w:val="FFFFFF" w:themeColor="background1"/>
                <w:sz w:val="18"/>
                <w:szCs w:val="18"/>
              </w:rPr>
              <w:t>Regulamento (UE) n.º 1303/2013 do Parlamento Europeu e do Conselho, de 17 de Dezembro</w:t>
            </w:r>
          </w:p>
          <w:p w:rsidR="00671D21" w:rsidRPr="00687897" w:rsidRDefault="00671D21" w:rsidP="00687897">
            <w:pPr>
              <w:spacing w:before="20" w:after="20" w:line="240" w:lineRule="auto"/>
              <w:jc w:val="center"/>
              <w:rPr>
                <w:b/>
                <w:i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i/>
                <w:color w:val="FFFFFF" w:themeColor="background1"/>
                <w:sz w:val="18"/>
                <w:szCs w:val="18"/>
              </w:rPr>
              <w:t>Regulamento (UE) n.º 1304/2013 do Parlamento Europeu e do Conselho, de 17 de Dezembro</w:t>
            </w:r>
          </w:p>
        </w:tc>
      </w:tr>
      <w:tr w:rsidR="00513AC2" w:rsidRPr="00687897" w:rsidTr="00F64DA1">
        <w:trPr>
          <w:trHeight w:val="170"/>
        </w:trPr>
        <w:tc>
          <w:tcPr>
            <w:tcW w:w="9747" w:type="dxa"/>
            <w:shd w:val="clear" w:color="auto" w:fill="auto"/>
            <w:vAlign w:val="center"/>
          </w:tcPr>
          <w:p w:rsidR="00513AC2" w:rsidRPr="00687897" w:rsidRDefault="00513AC2" w:rsidP="00687897">
            <w:pPr>
              <w:spacing w:before="20" w:after="20" w:line="240" w:lineRule="auto"/>
              <w:jc w:val="both"/>
              <w:rPr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Outra legislação aplicável:</w:t>
            </w:r>
            <w:r w:rsidRPr="00687897">
              <w:rPr>
                <w:sz w:val="18"/>
                <w:szCs w:val="18"/>
              </w:rPr>
              <w:t xml:space="preserve"> Em anexo outra legislação nacional relevante no domínio da igualdade entre homens e mulheres e igualdade de oportunidades e da não discriminação</w:t>
            </w:r>
          </w:p>
        </w:tc>
      </w:tr>
    </w:tbl>
    <w:p w:rsidR="00671D21" w:rsidRPr="00687897" w:rsidRDefault="00671D21" w:rsidP="00CC3BC8">
      <w:pPr>
        <w:spacing w:before="120" w:after="0" w:line="240" w:lineRule="auto"/>
        <w:jc w:val="both"/>
        <w:rPr>
          <w:sz w:val="18"/>
          <w:szCs w:val="18"/>
        </w:rPr>
      </w:pPr>
      <w:bookmarkStart w:id="0" w:name="_GoBack"/>
      <w:bookmarkEnd w:id="0"/>
    </w:p>
    <w:tbl>
      <w:tblPr>
        <w:tblW w:w="9756" w:type="dxa"/>
        <w:tblLayout w:type="fixed"/>
        <w:tblLook w:val="04A0" w:firstRow="1" w:lastRow="0" w:firstColumn="1" w:lastColumn="0" w:noHBand="0" w:noVBand="1"/>
      </w:tblPr>
      <w:tblGrid>
        <w:gridCol w:w="3510"/>
        <w:gridCol w:w="425"/>
        <w:gridCol w:w="425"/>
        <w:gridCol w:w="426"/>
        <w:gridCol w:w="2126"/>
        <w:gridCol w:w="1418"/>
        <w:gridCol w:w="1417"/>
        <w:gridCol w:w="9"/>
      </w:tblGrid>
      <w:tr w:rsidR="000A2C07" w:rsidRPr="00687897" w:rsidTr="00CC3BC8">
        <w:trPr>
          <w:tblHeader/>
        </w:trPr>
        <w:tc>
          <w:tcPr>
            <w:tcW w:w="3510" w:type="dxa"/>
            <w:vMerge w:val="restart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CC3BC8" w:rsidRPr="00687897" w:rsidRDefault="000A2C07" w:rsidP="00CC3BC8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Questão a verificar</w:t>
            </w:r>
          </w:p>
          <w:p w:rsidR="000A2C07" w:rsidRPr="00687897" w:rsidRDefault="006B4073" w:rsidP="00CC3BC8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i/>
                <w:color w:val="FFFFFF" w:themeColor="background1"/>
                <w:sz w:val="18"/>
                <w:szCs w:val="18"/>
              </w:rPr>
              <w:t>A operação é abrangida:</w:t>
            </w:r>
          </w:p>
        </w:tc>
        <w:tc>
          <w:tcPr>
            <w:tcW w:w="3402" w:type="dxa"/>
            <w:gridSpan w:val="4"/>
            <w:tcBorders>
              <w:top w:val="single" w:sz="4" w:space="0" w:color="17365D" w:themeColor="text2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A preencher pelos beneficiários</w:t>
            </w:r>
          </w:p>
        </w:tc>
        <w:tc>
          <w:tcPr>
            <w:tcW w:w="2844" w:type="dxa"/>
            <w:gridSpan w:val="3"/>
            <w:tcBorders>
              <w:top w:val="single" w:sz="4" w:space="0" w:color="17365D" w:themeColor="text2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17365D" w:themeColor="text2" w:themeShade="BF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A preencher pelas AG</w:t>
            </w:r>
          </w:p>
        </w:tc>
      </w:tr>
      <w:tr w:rsidR="00F64DA1" w:rsidRPr="00687897" w:rsidTr="00CC3BC8">
        <w:trPr>
          <w:gridAfter w:val="1"/>
          <w:wAfter w:w="9" w:type="dxa"/>
          <w:tblHeader/>
        </w:trPr>
        <w:tc>
          <w:tcPr>
            <w:tcW w:w="3510" w:type="dxa"/>
            <w:vMerge/>
            <w:tcBorders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CC3BC8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N</w:t>
            </w:r>
          </w:p>
        </w:tc>
        <w:tc>
          <w:tcPr>
            <w:tcW w:w="42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proofErr w:type="gramStart"/>
            <w:r w:rsidRPr="00687897">
              <w:rPr>
                <w:b/>
                <w:color w:val="FFFFFF" w:themeColor="background1"/>
                <w:sz w:val="18"/>
                <w:szCs w:val="18"/>
              </w:rPr>
              <w:t>NA</w:t>
            </w:r>
            <w:proofErr w:type="gramEnd"/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CC3BC8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Evidência documental</w:t>
            </w:r>
          </w:p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(em anexo)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Verificação pela AG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17365D" w:themeColor="text2" w:themeShade="BF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513AC2" w:rsidRPr="00687897" w:rsidTr="00F64DA1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513AC2" w:rsidRPr="00687897" w:rsidRDefault="00513AC2" w:rsidP="00513AC2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Avaliação Global</w:t>
            </w:r>
          </w:p>
        </w:tc>
      </w:tr>
      <w:tr w:rsidR="00513AC2" w:rsidRPr="00687897" w:rsidTr="00F64DA1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623FAA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A</w:t>
            </w:r>
            <w:r w:rsidR="00F64DA1" w:rsidRPr="00687897">
              <w:rPr>
                <w:sz w:val="18"/>
                <w:szCs w:val="18"/>
              </w:rPr>
              <w:t xml:space="preserve"> </w:t>
            </w:r>
            <w:r w:rsidRPr="00687897">
              <w:rPr>
                <w:sz w:val="18"/>
                <w:szCs w:val="18"/>
              </w:rPr>
              <w:t>Operação</w:t>
            </w:r>
            <w:r w:rsidR="00F64DA1" w:rsidRPr="00687897">
              <w:rPr>
                <w:sz w:val="18"/>
                <w:szCs w:val="18"/>
              </w:rPr>
              <w:t xml:space="preserve"> teve em conta as prioridades nacionais e/ou Europeias e</w:t>
            </w:r>
            <w:r w:rsidR="00B908D2" w:rsidRPr="00687897">
              <w:rPr>
                <w:sz w:val="18"/>
                <w:szCs w:val="18"/>
              </w:rPr>
              <w:t>m matéria de igualdade entre homens e mulheres, igualdade de oportunidades e da não discriminação em razão da deficiência, raça ou origem étnica, religião ou crença, região, idade ou orientação sexual</w:t>
            </w:r>
            <w:r w:rsidR="00F64DA1" w:rsidRPr="00687897">
              <w:rPr>
                <w:sz w:val="18"/>
                <w:szCs w:val="18"/>
              </w:rPr>
              <w:t>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F64DA1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A organização dispõe de indicadores numéricos e qualitativos desagregados por sexo?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Igualdade no acesso ao emprego, no trabalho</w:t>
            </w:r>
            <w:r w:rsidR="00B908D2" w:rsidRPr="00687897">
              <w:rPr>
                <w:b/>
                <w:i/>
                <w:sz w:val="18"/>
                <w:szCs w:val="18"/>
              </w:rPr>
              <w:t>, no ensino</w:t>
            </w:r>
            <w:r w:rsidRPr="00687897">
              <w:rPr>
                <w:b/>
                <w:i/>
                <w:sz w:val="18"/>
                <w:szCs w:val="18"/>
              </w:rPr>
              <w:t xml:space="preserve"> e na formação profissional</w:t>
            </w: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2E1F77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 xml:space="preserve">Foram previstas ações destinadas </w:t>
            </w:r>
            <w:r w:rsidR="002E1F77" w:rsidRPr="00687897">
              <w:rPr>
                <w:rFonts w:cs="Arial"/>
                <w:sz w:val="18"/>
                <w:szCs w:val="18"/>
                <w:lang w:eastAsia="pt-PT"/>
              </w:rPr>
              <w:t>a promover</w:t>
            </w:r>
            <w:r w:rsidRPr="00687897">
              <w:rPr>
                <w:rFonts w:cs="Arial"/>
                <w:sz w:val="18"/>
                <w:szCs w:val="18"/>
                <w:lang w:eastAsia="pt-PT"/>
              </w:rPr>
              <w:t xml:space="preserve"> uma gestão igualitária e não discriminatória dos recursos humanos?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623FAA" w:rsidP="00623FAA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A</w:t>
            </w:r>
            <w:r w:rsidR="00F64DA1" w:rsidRPr="00687897">
              <w:rPr>
                <w:rFonts w:cs="Arial"/>
                <w:sz w:val="18"/>
                <w:szCs w:val="18"/>
                <w:lang w:eastAsia="pt-PT"/>
              </w:rPr>
              <w:t xml:space="preserve"> </w:t>
            </w:r>
            <w:r w:rsidRPr="00687897">
              <w:rPr>
                <w:rFonts w:cs="Arial"/>
                <w:sz w:val="18"/>
                <w:szCs w:val="18"/>
                <w:lang w:eastAsia="pt-PT"/>
              </w:rPr>
              <w:t>Operação</w:t>
            </w:r>
            <w:r w:rsidR="00F64DA1" w:rsidRPr="00687897">
              <w:rPr>
                <w:rFonts w:cs="Arial"/>
                <w:sz w:val="18"/>
                <w:szCs w:val="18"/>
                <w:lang w:eastAsia="pt-PT"/>
              </w:rPr>
              <w:t xml:space="preserve"> promoveu a igualdade salarial entre </w:t>
            </w:r>
            <w:r w:rsidR="00512B28" w:rsidRPr="00687897">
              <w:rPr>
                <w:rFonts w:cs="Arial"/>
                <w:sz w:val="18"/>
                <w:szCs w:val="18"/>
                <w:lang w:eastAsia="pt-PT"/>
              </w:rPr>
              <w:t xml:space="preserve">todos, nomeadamente entre </w:t>
            </w:r>
            <w:r w:rsidR="00F64DA1" w:rsidRPr="00687897">
              <w:rPr>
                <w:rFonts w:cs="Arial"/>
                <w:sz w:val="18"/>
                <w:szCs w:val="18"/>
                <w:lang w:eastAsia="pt-PT"/>
              </w:rPr>
              <w:t>mulheres e homens?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7C3B65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</w:tcPr>
          <w:p w:rsidR="00F64DA1" w:rsidRPr="00687897" w:rsidRDefault="003C70DD" w:rsidP="003C70DD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Nos mecanismos de gestão das carreiras dos recursos humanos foram estabelecidos práticas não discriminatórias que assegurem o acesso ao ensino e formação profissional e a progressão nas carreiras?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12B28" w:rsidRPr="00687897" w:rsidTr="00AD670B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 xml:space="preserve">Foram estabelecidos mecanismos e estratégias para aumentar a proporção do sexo sub-representado nos processos de </w:t>
            </w:r>
            <w:r w:rsidRPr="00687897">
              <w:rPr>
                <w:rFonts w:cs="Arial"/>
                <w:sz w:val="18"/>
                <w:szCs w:val="18"/>
                <w:lang w:eastAsia="pt-PT"/>
              </w:rPr>
              <w:lastRenderedPageBreak/>
              <w:t>decisão?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77589" w:rsidRPr="00687897" w:rsidTr="00AD670B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577589" w:rsidRPr="00687897" w:rsidRDefault="00577589" w:rsidP="00577589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lastRenderedPageBreak/>
              <w:t>Promoção da integração de pessoa com deficiência</w:t>
            </w:r>
          </w:p>
        </w:tc>
      </w:tr>
      <w:tr w:rsidR="00577589" w:rsidRPr="00687897" w:rsidTr="00AD670B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A organização adotou medidas que permitam responder aos objetivos estratégicos do Plano de Ação para a Integração das Pessoas com Deficiências ou Incapacidade?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77589" w:rsidRPr="00687897" w:rsidTr="00AD670B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A organização adotou políticas de gestão de recursos humanos que seja favorável à inclusão de pessoa com deficiência e à melhoria das acessibilidades?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F64DA1" w:rsidRPr="00687897" w:rsidRDefault="00F64DA1" w:rsidP="006B4073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Promoção da conciliação da vida profissional e familiar</w:t>
            </w: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Foram previstas ações destinadas a facilitar a conciliação entre a vida profissional, familiar e pessoal?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6B4073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Foram desenvolvidas ações de apoio a uma parentalidade responsável, em conformidade e respeito pelas diferentes formas de organização familiar?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B4073" w:rsidRPr="00687897" w:rsidTr="00ED65C0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Prevenção de práticas discriminatórias</w:t>
            </w:r>
          </w:p>
        </w:tc>
      </w:tr>
      <w:tr w:rsidR="006B4073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Foram adotadas orientações e/ou procedimentos que promovam a utilização de linguagem não sexista e inclusiva na comunicação interna e externa?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B4073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6B4073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sz w:val="18"/>
                <w:szCs w:val="18"/>
              </w:rPr>
              <w:t>Foram desenvolvidas medidas de prevenção a situações de assédio, nomeadamente comportamentos indesejados com o objetivo de perturbar ou constranger a pessoa, afetar a sua dignidade ou de lhe criar um ambiente intimidativo, hostil, degradante, humilhante ou desestabilizador?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12B28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512B28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A Organização registou alguma iniciativa visando a integração no ambiente sócio laboral da empresa de pessoas com deficiência, nomeadamente promovendo o desenvolvimento de comportamentos pessoais e sociais adequados ao estatuto de trabalhador?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671D21" w:rsidRPr="00687897" w:rsidRDefault="00671D21">
      <w:pPr>
        <w:rPr>
          <w:sz w:val="18"/>
          <w:szCs w:val="18"/>
        </w:rPr>
      </w:pPr>
      <w:r w:rsidRPr="00687897">
        <w:rPr>
          <w:sz w:val="18"/>
          <w:szCs w:val="18"/>
        </w:rPr>
        <w:br w:type="page"/>
      </w:r>
    </w:p>
    <w:p w:rsidR="009E03B0" w:rsidRPr="00687897" w:rsidRDefault="009E03B0" w:rsidP="00DE52A8">
      <w:pPr>
        <w:spacing w:after="120"/>
        <w:jc w:val="center"/>
        <w:rPr>
          <w:b/>
          <w:color w:val="B4191D"/>
        </w:rPr>
      </w:pPr>
      <w:r w:rsidRPr="00687897">
        <w:rPr>
          <w:b/>
          <w:color w:val="B4191D"/>
        </w:rPr>
        <w:lastRenderedPageBreak/>
        <w:t>Anexos</w:t>
      </w:r>
    </w:p>
    <w:tbl>
      <w:tblPr>
        <w:tblW w:w="0" w:type="auto"/>
        <w:shd w:val="clear" w:color="auto" w:fill="3E95D4"/>
        <w:tblLook w:val="04A0" w:firstRow="1" w:lastRow="0" w:firstColumn="1" w:lastColumn="0" w:noHBand="0" w:noVBand="1"/>
      </w:tblPr>
      <w:tblGrid>
        <w:gridCol w:w="9747"/>
      </w:tblGrid>
      <w:tr w:rsidR="006B4073" w:rsidRPr="00687897" w:rsidTr="005F50DC">
        <w:trPr>
          <w:trHeight w:val="170"/>
        </w:trPr>
        <w:tc>
          <w:tcPr>
            <w:tcW w:w="9747" w:type="dxa"/>
            <w:shd w:val="clear" w:color="auto" w:fill="3E95D4"/>
            <w:vAlign w:val="center"/>
          </w:tcPr>
          <w:p w:rsidR="006B4073" w:rsidRPr="00687897" w:rsidRDefault="006B4073" w:rsidP="005F50D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Identificação da Operação e do Beneficiário</w:t>
            </w:r>
          </w:p>
        </w:tc>
      </w:tr>
    </w:tbl>
    <w:p w:rsidR="006B4073" w:rsidRPr="00687897" w:rsidRDefault="006B4073" w:rsidP="005F50DC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Style w:val="Tabelacomgrelha"/>
        <w:tblW w:w="0" w:type="auto"/>
        <w:tblBorders>
          <w:top w:val="single" w:sz="12" w:space="0" w:color="17365D" w:themeColor="text2" w:themeShade="BF"/>
          <w:left w:val="none" w:sz="0" w:space="0" w:color="auto"/>
          <w:bottom w:val="single" w:sz="12" w:space="0" w:color="17365D" w:themeColor="text2" w:themeShade="BF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7"/>
        <w:gridCol w:w="3544"/>
        <w:gridCol w:w="2410"/>
      </w:tblGrid>
      <w:tr w:rsidR="006B4073" w:rsidRPr="00687897" w:rsidTr="00ED65C0">
        <w:trPr>
          <w:trHeight w:val="170"/>
        </w:trPr>
        <w:tc>
          <w:tcPr>
            <w:tcW w:w="2376" w:type="dxa"/>
            <w:tcBorders>
              <w:top w:val="single" w:sz="4" w:space="0" w:color="17365D" w:themeColor="text2" w:themeShade="BF"/>
              <w:bottom w:val="nil"/>
            </w:tcBorders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Entidade beneficiária:</w:t>
            </w:r>
          </w:p>
        </w:tc>
        <w:tc>
          <w:tcPr>
            <w:tcW w:w="7371" w:type="dxa"/>
            <w:gridSpan w:val="3"/>
            <w:tcBorders>
              <w:top w:val="single" w:sz="4" w:space="0" w:color="17365D" w:themeColor="text2" w:themeShade="BF"/>
              <w:bottom w:val="nil"/>
            </w:tcBorders>
            <w:vAlign w:val="center"/>
          </w:tcPr>
          <w:p w:rsidR="006B4073" w:rsidRPr="00687897" w:rsidRDefault="006B4073" w:rsidP="0083474C">
            <w:pPr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NIF, acrónimo e/ou nome da entidade beneficiária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tcBorders>
              <w:top w:val="nil"/>
            </w:tcBorders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Nº da Candidatura (Código Universal):</w:t>
            </w:r>
          </w:p>
        </w:tc>
        <w:tc>
          <w:tcPr>
            <w:tcW w:w="7371" w:type="dxa"/>
            <w:gridSpan w:val="3"/>
            <w:tcBorders>
              <w:top w:val="nil"/>
            </w:tcBorders>
            <w:vAlign w:val="center"/>
          </w:tcPr>
          <w:p w:rsidR="006B4073" w:rsidRPr="00687897" w:rsidRDefault="006B4073" w:rsidP="0083474C">
            <w:pPr>
              <w:jc w:val="both"/>
              <w:rPr>
                <w:sz w:val="18"/>
                <w:szCs w:val="18"/>
              </w:rPr>
            </w:pPr>
            <w:proofErr w:type="gramStart"/>
            <w:r w:rsidRPr="00687897">
              <w:rPr>
                <w:color w:val="000000"/>
                <w:sz w:val="18"/>
                <w:szCs w:val="18"/>
                <w:lang w:eastAsia="pt-PT"/>
              </w:rPr>
              <w:t>XXXXXX(PO</w:t>
            </w:r>
            <w:proofErr w:type="gramEnd"/>
            <w:r w:rsidRPr="00687897">
              <w:rPr>
                <w:color w:val="000000"/>
                <w:sz w:val="18"/>
                <w:szCs w:val="18"/>
                <w:lang w:eastAsia="pt-PT"/>
              </w:rPr>
              <w:t>) – 99(Eixo) – 99999(PI/TI) -FUNDO (FEDER, FC, FSE, FEADER, FEAMP) – 999999 (nº sequencial dentro do PO  e da TI)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Título da operação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  <w:highlight w:val="yellow"/>
              </w:rPr>
            </w:pPr>
            <w:r w:rsidRPr="00687897">
              <w:rPr>
                <w:b/>
                <w:sz w:val="18"/>
                <w:szCs w:val="18"/>
              </w:rPr>
              <w:t>Tipologia de operação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>Número da TO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Concurso (Aviso):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 xml:space="preserve">XXXXXX (PO) - </w:t>
            </w:r>
            <w:proofErr w:type="gramStart"/>
            <w:r w:rsidRPr="00687897">
              <w:rPr>
                <w:color w:val="000000"/>
                <w:sz w:val="18"/>
                <w:szCs w:val="18"/>
                <w:lang w:eastAsia="pt-PT"/>
              </w:rPr>
              <w:t>99(TI</w:t>
            </w:r>
            <w:proofErr w:type="gramEnd"/>
            <w:r w:rsidRPr="00687897">
              <w:rPr>
                <w:color w:val="000000"/>
                <w:sz w:val="18"/>
                <w:szCs w:val="18"/>
                <w:lang w:eastAsia="pt-PT"/>
              </w:rPr>
              <w:t>) - 9999(ANO) - 99(sequência no PO/Ano</w:t>
            </w:r>
            <w:r w:rsidRPr="00687897">
              <w:rPr>
                <w:sz w:val="18"/>
                <w:szCs w:val="18"/>
              </w:rPr>
              <w:t>)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submissão da candidatura: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sz w:val="18"/>
                <w:szCs w:val="18"/>
                <w:highlight w:val="yellow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início da operação:</w:t>
            </w:r>
          </w:p>
        </w:tc>
        <w:tc>
          <w:tcPr>
            <w:tcW w:w="1417" w:type="dxa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  <w:tc>
          <w:tcPr>
            <w:tcW w:w="3544" w:type="dxa"/>
            <w:vAlign w:val="center"/>
          </w:tcPr>
          <w:p w:rsidR="006B4073" w:rsidRPr="00687897" w:rsidRDefault="006B4073" w:rsidP="0083474C">
            <w:pPr>
              <w:jc w:val="center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fim da operação:</w:t>
            </w:r>
          </w:p>
        </w:tc>
        <w:tc>
          <w:tcPr>
            <w:tcW w:w="2410" w:type="dxa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tcBorders>
              <w:top w:val="nil"/>
              <w:bottom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aprovação da operação:</w:t>
            </w:r>
          </w:p>
        </w:tc>
        <w:tc>
          <w:tcPr>
            <w:tcW w:w="7371" w:type="dxa"/>
            <w:gridSpan w:val="3"/>
            <w:tcBorders>
              <w:top w:val="nil"/>
              <w:bottom w:val="single" w:sz="4" w:space="0" w:color="17365D" w:themeColor="text2" w:themeShade="BF"/>
            </w:tcBorders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</w:tbl>
    <w:p w:rsidR="001F4726" w:rsidRPr="00687897" w:rsidRDefault="001F4726" w:rsidP="005F50DC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0" w:type="auto"/>
        <w:shd w:val="clear" w:color="auto" w:fill="3E95D4"/>
        <w:tblLook w:val="04A0" w:firstRow="1" w:lastRow="0" w:firstColumn="1" w:lastColumn="0" w:noHBand="0" w:noVBand="1"/>
      </w:tblPr>
      <w:tblGrid>
        <w:gridCol w:w="9747"/>
      </w:tblGrid>
      <w:tr w:rsidR="00521060" w:rsidRPr="00687897" w:rsidTr="005F50DC">
        <w:trPr>
          <w:trHeight w:val="283"/>
        </w:trPr>
        <w:tc>
          <w:tcPr>
            <w:tcW w:w="9747" w:type="dxa"/>
            <w:shd w:val="clear" w:color="auto" w:fill="3E95D4"/>
            <w:vAlign w:val="center"/>
          </w:tcPr>
          <w:p w:rsidR="00521060" w:rsidRPr="00687897" w:rsidRDefault="006B4073" w:rsidP="005F50D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Legislação na área da Igualdade de Género</w:t>
            </w:r>
          </w:p>
        </w:tc>
      </w:tr>
    </w:tbl>
    <w:p w:rsidR="00521060" w:rsidRPr="00687897" w:rsidRDefault="00521060" w:rsidP="0083474C">
      <w:pPr>
        <w:spacing w:before="60" w:after="0" w:line="240" w:lineRule="auto"/>
        <w:jc w:val="both"/>
        <w:rPr>
          <w:sz w:val="18"/>
          <w:szCs w:val="18"/>
        </w:rPr>
      </w:pPr>
    </w:p>
    <w:p w:rsidR="006B4073" w:rsidRPr="00687897" w:rsidRDefault="006B4073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Compromissos internacionais 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Pacto Europeu para a Igualdade entre Homens e Mulheres (2011-2020)</w:t>
      </w:r>
      <w:r w:rsidR="00D3761B" w:rsidRPr="00687897">
        <w:rPr>
          <w:sz w:val="18"/>
          <w:szCs w:val="18"/>
        </w:rPr>
        <w:t>, aprovado a 7 de março de 2011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Estratégia para a Igualdade entre Mulheres e Homens (2010-2015), adotada a 21 de dezembro de 2010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Estratégia da União Europeia para o Emprego e o Crescimento-Europa 2020, adotada a 17 de junho de 2010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Carta das Mulheres, adotada a 5 de março de 2010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Tratado de Lisboa, de 13 de dezembro de 2007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Carta dos Direitos Fundamentais, adotada em Nice em dezembro de 2000</w:t>
      </w:r>
    </w:p>
    <w:p w:rsidR="00D3761B" w:rsidRPr="00687897" w:rsidRDefault="00416B64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Bases Gerais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V Plano Nacional para a Igualdade – Género, Cidadania e Não Discriminação 2014-2017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Declaração de Retificação n.º 14/2014</w:t>
      </w:r>
    </w:p>
    <w:p w:rsidR="00416B64" w:rsidRPr="00687897" w:rsidRDefault="00416B64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Código do Trabalho, aprovado pela Lei n.º 7/2009, de 12 de fevereiro, na sua atual redação</w:t>
      </w:r>
    </w:p>
    <w:p w:rsidR="00D3761B" w:rsidRPr="00687897" w:rsidRDefault="00D3761B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Trabalho, emprego e empreendedorismo 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133/2015, de 7 de setembro, que cria um mecanismo de proteção para trabalhadoras gravi</w:t>
      </w:r>
      <w:r w:rsidR="00416B64" w:rsidRPr="00687897">
        <w:rPr>
          <w:sz w:val="18"/>
          <w:szCs w:val="18"/>
        </w:rPr>
        <w:t>das, puérperas e lactantes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84/2015, de 20 de março – diploma que cria e regulamenta a medida de Promoção de Igualdade d</w:t>
      </w:r>
      <w:r w:rsidR="00416B64" w:rsidRPr="00687897">
        <w:rPr>
          <w:sz w:val="18"/>
          <w:szCs w:val="18"/>
        </w:rPr>
        <w:t>e Género no Mercado de Trabalho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11-A/2015, de 6 de março – diploma que mandata a Secretária de Estado dos Assuntos Parlamentares e da Igualdade, o Secretário de Estado do Desenvolvimento Regional, o Secretário de Estado Adjunto e da Economia e o Secretário de Estado de Emprego para, (i) no prazo de 90 dias a contar da data da publicação, desenvolverem diligências com vista à celebração, com as empresas cotadas em Bolsa, de um compromisso que promova um maior equilíbrio na representação de mulheres e de homens nos respetivos conselhos de administração, pressupondo, por parte das empresas, a vinculação a um objetivo de representação de 30% do sexo sub-representado, até ao final de 2018, bem como (</w:t>
      </w:r>
      <w:proofErr w:type="spellStart"/>
      <w:r w:rsidRPr="00687897">
        <w:rPr>
          <w:sz w:val="18"/>
          <w:szCs w:val="18"/>
        </w:rPr>
        <w:t>ii</w:t>
      </w:r>
      <w:proofErr w:type="spellEnd"/>
      <w:r w:rsidRPr="00687897">
        <w:rPr>
          <w:sz w:val="18"/>
          <w:szCs w:val="18"/>
        </w:rPr>
        <w:t>) para promoverem a criação e o fornecimento, sem custos para as empresas, de um mecanismo de apoio para identificação e análise das diferenças salariais entre homens e mulheres.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46/2014, de 28 de julho – diploma que autoriza o Governo, no âmbito da transposição da Diretiva n.º 2013/36/UE do Parlamento Europeu e do Conselho, a proceder à alteração ao Regime Geral das Instituições de Crédito e Sociedades Financeiras, definindo, como um dos objetivos estabelecer que a política interna de seleção e avaliação dos membros dos órgãos de administração e fiscalização deve promover a diversidade de qualificações e competências necessárias para o exercício da função, fixando objetivos para a representação de homens e mulheres e concebendo uma política destinada a aumentar o número de pessoas do género sub-representado com vista a atingir os referidos objetivos.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Resolução do Conselho de Ministros n.º 18/2014, de 5 de março de 2014 – diploma que estabelece um conjunto de medidas a adotar para contrariar a tendência histórica de desigualdade salarial penalizadora para as mulheres, tendo em vista alcançar </w:t>
      </w:r>
      <w:r w:rsidR="00416B64" w:rsidRPr="00687897">
        <w:rPr>
          <w:sz w:val="18"/>
          <w:szCs w:val="18"/>
        </w:rPr>
        <w:t>uma efetiva igualdade de género.</w:t>
      </w:r>
    </w:p>
    <w:p w:rsidR="00D3761B" w:rsidRPr="00687897" w:rsidRDefault="00D3761B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Conciliação vida profissional com a vida privada 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nº 116/2012, de 13 de julho – diploma que recomenda ao Governo que tome medidas de valorização da família que facilitem a conciliação entre a vida</w:t>
      </w:r>
      <w:r w:rsidR="00416B64" w:rsidRPr="00687897">
        <w:rPr>
          <w:sz w:val="18"/>
          <w:szCs w:val="18"/>
        </w:rPr>
        <w:t xml:space="preserve"> familiar e a vida profissional.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lastRenderedPageBreak/>
        <w:t>Despacho n.º 8683/2011, de 16 de junho – diploma que determina que os estabelecimentos de ensino pré-escolar e do 1.º ciclo do ensino básico se mantenham obrigatoriamente abertos, pelo menos até às 17h</w:t>
      </w:r>
      <w:r w:rsidR="00416B64" w:rsidRPr="00687897">
        <w:rPr>
          <w:sz w:val="18"/>
          <w:szCs w:val="18"/>
        </w:rPr>
        <w:t>30 e, no mínimo, por oito horas.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Decisão do Conselho da Europa, de 21 de outubro de 2010 – diploma que estabelece que as políticas de conciliação da vida profissional com a familiar, juntamente com o acesso a estruturas de acolhimento de crianças a preços acessíveis e a inovação na forma como o trabalho é organizado, devem visar aumentar as taxas de emprego, nomeadamente entre os jovens, os trabalhadores mais idosos e as mulheres.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Despacho n.º 14460/2008, de 15 de maio – diploma que define as normas a observar no período de funcionamento dos respetivos estabelecimentos bem como na oferta das atividades de enriquecimento curricular e de animação e de apoio à família.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426/2006, de 2 de maio – diploma que visa criar o Programa de Alargamento da Rede de Equipamentos Sociais (PARES), que tem por finalidade apoiar o desenvolvimento e consolidar a rede de equipamentos sociais, que visa essencialmente estimular, através dos recursos financeiros provenientes dos jogos sociais, o investimento privado em equipamentos sociais, com o objetivo de aumentar a capacidade instalada em respostas nas áreas de infância e juventude, pessoas com deficiência e população idosa.</w:t>
      </w:r>
    </w:p>
    <w:p w:rsidR="00D3761B" w:rsidRPr="00687897" w:rsidRDefault="00D3761B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Discriminação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84/2015, de 20 de março – diploma que cria e regulamenta a medida de Promoção de Igualdade de Género no Mercado de Trabalho.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11-A/2015, de 6 de março – diploma que mandata a Secretária de Estado dos Assuntos Parlamentares e da Igualdade, o Secretário de Estado do Desenvolvimento Regional, o Secretário de Estado Adjunto e da Economia e o Secretário de Estado de Emprego para, (i) no prazo de 90 dias a contar da data da publicação, desenvolverem diligências com vista à celebração, com as empresas cotadas em Bolsa, de um compromisso que promova um maior equilíbrio na representação de mulheres e de homens nos respetivos conselhos de administração, pressupondo, por parte das empresas, a vinculação a um objetivo de representação de 30% do sexo sub-representado, até ao final de 2018, bem como (</w:t>
      </w:r>
      <w:proofErr w:type="spellStart"/>
      <w:r w:rsidRPr="00687897">
        <w:rPr>
          <w:sz w:val="18"/>
          <w:szCs w:val="18"/>
        </w:rPr>
        <w:t>ii</w:t>
      </w:r>
      <w:proofErr w:type="spellEnd"/>
      <w:r w:rsidRPr="00687897">
        <w:rPr>
          <w:sz w:val="18"/>
          <w:szCs w:val="18"/>
        </w:rPr>
        <w:t>) para promoverem a criação e o fornecimento, sem custos para as empresas, de um mecanismo de apoio para identificação e análise das diferenças salariais entre homens e mulheres.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40/2014, de 9 de Julho - diploma que procede à segunda alteração a Lei n.º 27/2007, de 30 de julho (Lei da televisão e dos Serviços Audiovisuais a Pedido), integrando a promoção da igualdade de género como um dos temas dos programas televisivos de acesso livre.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46/2013, de 4 de abril – diploma que recomenda ao Governo a não discriminação laboral de mulheres.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45/2013, de 4 de abril – diploma que recomenda ao Governo o combate às discriminações salariais, diretas e indiretas.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41/2013, de 8 de março – diploma que recomenda ao governo um conjunto de medidas, em matéria de combate às práticas discriminatórias entre homens e mulheres no mundo do trabalho, nomeadamente a disponibilização, na página eletrónica da autoridade para as Condições do trabalho, de informação estatística atualizada e de qualidade, com desagregação futura dos dados em função do género.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de 13/2013, de 8 de março – diploma que aprova um conjunto de medidas que visam garantir e promover a igualdade de oportunidades e de resultados entre mulheres e homens no mercado de trabalho, designadamente na eliminação das diferenças salariais, da promoção da conciliação entre a vida profissional e a vida familiar e pessoal, do incentivo ao aprofundamento da responsabilidade social das empresas, da eliminação da segregação do mercado de trabalho e de outras discriminações.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19/2012, de 8 de março – diploma que sublinha a necessidade de promover uma efetiva pluralidade na representação de mulheres e de homens em lugares de decisão, tanto para o sector público como para o privado e incentiva a adoção de práticas de bom governo, suscetíveis de contribuir para a sustentabilidade económica de Portugal.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7/2011, de 15 de março – diploma que cria o procedimento de mudança de sexo e de nome próprio no registo civil e procede à décima sétima alteração ao Código do Registo Civil.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3/2011, de 15 de fevereiro – diploma que proíbe qualquer discriminação no acesso e no exercício do trabalho independente e transpõe a Diretiva n.º 2000/43/CE, do Conselho, de 29 de Junho, a Diretiva n.º2000/78/CE, do Conselho, de 27 de novembro, e a Diretiva n.º 2006/54/CE, do Parlamento Europeu e do Conselho, de 5 de julho.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Carta dos Direitos Fundamentais da União Europeia, de 30 de dezembro de 2010 – diploma que, no artigo 21.º, proíbe de forma genérica a discriminação em razão de uma vasta série de motivações, incluindo em função da orientação sexual.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Convenção Europeia dos Direitos do Homem, de 4 de novembro 1950 – diploma que consagra os Direitos da Humanidade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39/2010, de 6 de maio – diploma que recomenda ao Governo a adoção de medidas que visem combater a atual discriminação dos homossexuais e bissexuais nos serviços de recolha de sangue.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lastRenderedPageBreak/>
        <w:t>Lei n.º 14/2008, de 12 de março, diploma que proíbe e sanciona a discriminação em função do sexo no acesso a bens e serviços e seu fornecimento, transpondo para a ordem jurídica interna a Diretiva n.º 2004/113/CE, do Conselho, de 13 de dezembro.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Lei n.º 59/2007, de 4 de setembro, e Decreto-Lei n.º 48/95, de 15 de março – </w:t>
      </w:r>
      <w:proofErr w:type="gramStart"/>
      <w:r w:rsidRPr="00687897">
        <w:rPr>
          <w:sz w:val="18"/>
          <w:szCs w:val="18"/>
        </w:rPr>
        <w:t>diplomas</w:t>
      </w:r>
      <w:proofErr w:type="gramEnd"/>
      <w:r w:rsidRPr="00687897">
        <w:rPr>
          <w:sz w:val="18"/>
          <w:szCs w:val="18"/>
        </w:rPr>
        <w:t xml:space="preserve"> que alteram o Decreto-Lei n.º 400/82, de 23 de Setembro, nomeadamente, a alínea c) do n.º 2 do artigo 240.º do Código Penal Português, criminalizando o incitamento à discriminação racial, religiosa e sexual com uma pena de prisão de 6 meses a 5 anos.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111/2007, de 24 de janeiro – diploma que cria o Programa Todos Diferentes, Todos Iguais (Programa TDTI).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18/2004, 11 de maio – diploma que transpõe para a ordem jurídica nacional a Diretiva n.º 2000/43/CE, do Conselho, de 29 de Junho, que aplica o princípio da igualdade de tratamento entre as pessoas, sem distinção de origem racial ou étnica, e tem por objetivo estabelecer um quadro jurídico para o combate à discriminação baseada em motivos de origem racial ou étnica.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9/2001, de 21 de maio – diploma que reforça os mecanismos de fiscalização e punição das práticas laborais discriminatórias em função do sexo.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134/1999, de 28 de agosto – diploma que proíbe as discriminações no exercício de direitos por motivos baseados na raça, cor, nacionalidade ou origem étnica.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Declaração Universal dos Direitos do H</w:t>
      </w:r>
      <w:r w:rsidR="00416B64" w:rsidRPr="00687897">
        <w:rPr>
          <w:sz w:val="18"/>
          <w:szCs w:val="18"/>
        </w:rPr>
        <w:t>omem, de 10 de Dezembro de 1948.</w:t>
      </w:r>
    </w:p>
    <w:p w:rsidR="006B4073" w:rsidRPr="00687897" w:rsidRDefault="005F50DC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proofErr w:type="spellStart"/>
      <w:r w:rsidRPr="00687897">
        <w:rPr>
          <w:b/>
          <w:i/>
          <w:sz w:val="18"/>
          <w:szCs w:val="18"/>
        </w:rPr>
        <w:t>Mainstreaming</w:t>
      </w:r>
      <w:proofErr w:type="spellEnd"/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de nº 19/2012, de 8 de março – diploma que determina a obrigatoriedade de adoção de planos para a igualdade em todas as entidades do Setor Empresarial do Estado (SEE) e a presença plural de mulheres e homens nas nomeações ou designações para cargos de administração e de fiscalização; enquanto acionista de empresas privadas, deve propor aos restantes acionistas a adoção de políticas de promoção da igualdade de género; quanto às empresas do setor privado cotadas em bolsa, recomenda a adoção de planos de igualdade e de medidas, designadamente de autorregulação e de avaliação, que conduzam à participação equilibrada de mulheres e de homens nos cargos de administração e de fiscalização.</w:t>
      </w:r>
    </w:p>
    <w:p w:rsidR="006B4073" w:rsidRPr="00687897" w:rsidRDefault="0083474C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proofErr w:type="spellStart"/>
      <w:r w:rsidRPr="00687897">
        <w:rPr>
          <w:b/>
          <w:i/>
          <w:sz w:val="18"/>
          <w:szCs w:val="18"/>
        </w:rPr>
        <w:t>Parentalidade</w:t>
      </w:r>
      <w:proofErr w:type="spellEnd"/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Constituição da República Portuguesa (artigo 68.º) – diploma que reconhece a maternidade e a paternidade</w:t>
      </w:r>
      <w:r w:rsidR="00416B64" w:rsidRPr="00687897">
        <w:rPr>
          <w:sz w:val="18"/>
          <w:szCs w:val="18"/>
        </w:rPr>
        <w:t xml:space="preserve"> como valores sociais eminentes.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Declaração de Retificação n.º 40/2009, de 5 de junho – diploma que retifica o n.º 4 do artigo 38.º do Decreto-Lei n.º 89/2009, de 9 de abril, que regulamenta a proteção na parentalidade, no âmbito da eventualidade maternidade, paternidade e adoção, dos trabalhadores que exercem funções públicas integrados no regime</w:t>
      </w:r>
      <w:r w:rsidR="00416B64" w:rsidRPr="00687897">
        <w:rPr>
          <w:sz w:val="18"/>
          <w:szCs w:val="18"/>
        </w:rPr>
        <w:t xml:space="preserve"> de proteção social convergente.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Decreto-Lei n.º 91/2009, de 9 de abril</w:t>
      </w:r>
      <w:r w:rsidR="00FA6FCE" w:rsidRPr="00687897">
        <w:rPr>
          <w:sz w:val="18"/>
          <w:szCs w:val="18"/>
        </w:rPr>
        <w:t xml:space="preserve">, alterado pelo Decreto-lei n.º 70/2010, de 16 de junho, </w:t>
      </w:r>
      <w:r w:rsidR="00A116BC" w:rsidRPr="00687897">
        <w:rPr>
          <w:sz w:val="18"/>
          <w:szCs w:val="18"/>
        </w:rPr>
        <w:t xml:space="preserve">pelo Decreto-lei </w:t>
      </w:r>
      <w:r w:rsidR="00FA6FCE" w:rsidRPr="00687897">
        <w:rPr>
          <w:sz w:val="18"/>
          <w:szCs w:val="18"/>
        </w:rPr>
        <w:t xml:space="preserve">n.º 133/2012, de 27 de junho e </w:t>
      </w:r>
      <w:r w:rsidR="00A116BC" w:rsidRPr="00687897">
        <w:rPr>
          <w:sz w:val="18"/>
          <w:szCs w:val="18"/>
        </w:rPr>
        <w:t xml:space="preserve">pelo Decreto-lei </w:t>
      </w:r>
      <w:r w:rsidR="00FA6FCE" w:rsidRPr="00687897">
        <w:rPr>
          <w:sz w:val="18"/>
          <w:szCs w:val="18"/>
        </w:rPr>
        <w:t>n.º 120/2015, de 1 de setembro</w:t>
      </w:r>
      <w:r w:rsidRPr="00687897">
        <w:rPr>
          <w:sz w:val="18"/>
          <w:szCs w:val="18"/>
        </w:rPr>
        <w:t xml:space="preserve"> – diploma que estabelece o regime jurídico de proteção social na parentalidade no âmbito do sistema previdencial e no subsistema de solidariedade, e o quadro legal da proteção da parentalidade, em termos gerais.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Decreto-Lei n.º 89/2009, de 9 de abril</w:t>
      </w:r>
      <w:r w:rsidR="00A116BC" w:rsidRPr="00687897">
        <w:rPr>
          <w:sz w:val="18"/>
          <w:szCs w:val="18"/>
        </w:rPr>
        <w:t xml:space="preserve"> </w:t>
      </w:r>
      <w:r w:rsidRPr="00687897">
        <w:rPr>
          <w:sz w:val="18"/>
          <w:szCs w:val="18"/>
        </w:rPr>
        <w:t>– diploma que regulamenta a proteção na parentalidade, no âmbito da eventualidade maternidade, paternidade e adoção, dos trabalhadores que exercem funções públicas integrados no regime</w:t>
      </w:r>
      <w:r w:rsidR="00416B64" w:rsidRPr="00687897">
        <w:rPr>
          <w:sz w:val="18"/>
          <w:szCs w:val="18"/>
        </w:rPr>
        <w:t xml:space="preserve"> de proteção social convergente.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61/2008, de 31 de outubro – diploma que altera os artigos 1906.º a 1912.º do Código Civil, os quais dispõem so</w:t>
      </w:r>
      <w:r w:rsidR="00416B64" w:rsidRPr="00687897">
        <w:rPr>
          <w:sz w:val="18"/>
          <w:szCs w:val="18"/>
        </w:rPr>
        <w:t>bre responsabilidades parentais.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90/2001, de 20 de agosto – diploma que define medidas de apoio so</w:t>
      </w:r>
      <w:r w:rsidR="00416B64" w:rsidRPr="00687897">
        <w:rPr>
          <w:sz w:val="18"/>
          <w:szCs w:val="18"/>
        </w:rPr>
        <w:t>cial aos pais e mães estudantes.</w:t>
      </w:r>
    </w:p>
    <w:p w:rsidR="005F50DC" w:rsidRPr="00687897" w:rsidRDefault="005F50DC" w:rsidP="0083474C">
      <w:pPr>
        <w:pStyle w:val="Bullet"/>
        <w:numPr>
          <w:ilvl w:val="0"/>
          <w:numId w:val="0"/>
        </w:numPr>
        <w:spacing w:before="60" w:after="0" w:line="240" w:lineRule="auto"/>
        <w:ind w:left="360"/>
        <w:contextualSpacing w:val="0"/>
        <w:jc w:val="both"/>
        <w:rPr>
          <w:sz w:val="18"/>
          <w:szCs w:val="18"/>
        </w:rPr>
      </w:pPr>
    </w:p>
    <w:tbl>
      <w:tblPr>
        <w:tblW w:w="0" w:type="auto"/>
        <w:shd w:val="clear" w:color="auto" w:fill="3E95D4"/>
        <w:tblLook w:val="04A0" w:firstRow="1" w:lastRow="0" w:firstColumn="1" w:lastColumn="0" w:noHBand="0" w:noVBand="1"/>
      </w:tblPr>
      <w:tblGrid>
        <w:gridCol w:w="9747"/>
      </w:tblGrid>
      <w:tr w:rsidR="004F1721" w:rsidRPr="00687897" w:rsidTr="005F50DC">
        <w:trPr>
          <w:trHeight w:val="283"/>
        </w:trPr>
        <w:tc>
          <w:tcPr>
            <w:tcW w:w="9747" w:type="dxa"/>
            <w:shd w:val="clear" w:color="auto" w:fill="3E95D4"/>
            <w:vAlign w:val="center"/>
          </w:tcPr>
          <w:p w:rsidR="004F1721" w:rsidRPr="00687897" w:rsidRDefault="004F1721" w:rsidP="005F50D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Legislação na área da Violência Doméstica</w:t>
            </w:r>
          </w:p>
        </w:tc>
      </w:tr>
    </w:tbl>
    <w:p w:rsidR="004F1721" w:rsidRPr="00687897" w:rsidRDefault="004F1721" w:rsidP="0083474C">
      <w:pPr>
        <w:spacing w:before="60" w:after="0" w:line="240" w:lineRule="auto"/>
        <w:jc w:val="both"/>
        <w:rPr>
          <w:i/>
          <w:sz w:val="18"/>
          <w:szCs w:val="18"/>
        </w:rPr>
      </w:pPr>
    </w:p>
    <w:p w:rsidR="006B4073" w:rsidRPr="00687897" w:rsidRDefault="006B4073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Vigilância eletrónica 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Portaria n.º 63/2011, de 3 de fevereiro – diploma que estabelece a primeira alteração à Portaria n.º 220-A/2010, de 16 de abril, dando nova redação aos seus artigos 4.º e 7.º e revogando o </w:t>
      </w:r>
      <w:r w:rsidR="00416B64" w:rsidRPr="00687897">
        <w:rPr>
          <w:sz w:val="18"/>
          <w:szCs w:val="18"/>
        </w:rPr>
        <w:t>artigo 5.º.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Lei n.º 40/2010, de 3 de setembro – diploma que estabelece que a segunda alteração à Lei n.º 115/2009, de 12 de outubro, que aprova o Código da Execução das Penas e Medidas Privativas da Liberdade </w:t>
      </w:r>
      <w:r w:rsidR="00416B64" w:rsidRPr="00687897">
        <w:rPr>
          <w:sz w:val="18"/>
          <w:szCs w:val="18"/>
        </w:rPr>
        <w:t>e 26ª alteração ao Código Penal.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33/2010, de 2 de setembro – diploma que regula a utilização de meios técnicos de controlo à distância (vigilância eletrónica) e revoga a Lei n.º 122/99, de 20 de agosto, que regula a vigilância eletrónica prevista no artigo 201.º do Código de Processo Penal, e o artigo 2.º da Lei</w:t>
      </w:r>
      <w:r w:rsidR="00416B64" w:rsidRPr="00687897">
        <w:rPr>
          <w:sz w:val="18"/>
          <w:szCs w:val="18"/>
        </w:rPr>
        <w:t xml:space="preserve"> n.º 115/2009, de 12 de outubro.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220-A/2010, de 16 de abril – diploma que estabelece as condições de utilização inicial dos meios técnicos de teleassistência, previstos nos n.</w:t>
      </w:r>
      <w:r w:rsidR="00FA6FCE" w:rsidRPr="00687897">
        <w:rPr>
          <w:sz w:val="18"/>
          <w:szCs w:val="18"/>
        </w:rPr>
        <w:t>ºs</w:t>
      </w:r>
      <w:r w:rsidRPr="00687897">
        <w:rPr>
          <w:sz w:val="18"/>
          <w:szCs w:val="18"/>
        </w:rPr>
        <w:t xml:space="preserve"> 4 e 5 do artigo 20.º, e dos meios técnicos de controlo à distância previstos no artigo 35.º, ambos da Lei n.º 112/2009, de 16 de setembro, que aprova o regime jurídico aplicável à prevenção da violência doméstica, à proteção e à assistência das suas vítimas.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lastRenderedPageBreak/>
        <w:t>Resolução do Conselho de Ministros n.º</w:t>
      </w:r>
      <w:r w:rsidR="00A116BC" w:rsidRPr="00687897">
        <w:rPr>
          <w:sz w:val="18"/>
          <w:szCs w:val="18"/>
        </w:rPr>
        <w:t xml:space="preserve"> </w:t>
      </w:r>
      <w:r w:rsidRPr="00687897">
        <w:rPr>
          <w:sz w:val="18"/>
          <w:szCs w:val="18"/>
        </w:rPr>
        <w:t>17/2006, de 21 de julho – diploma que prorroga por mais um ano o mandato da estrutura de missão que tem vindo a desenvolver a estratégia de implementação da vigilância eletrónica.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Decreto-Lei n.º 121/2009, de 21 de maio – diploma que cria a Unidade de tecnologias, Informação e Segurança.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1/2001, de 6 de janeiro – diploma que cria, no âmbito do Ministério da Justiça, uma estrutura de missão com o objetivo de desenvolver as estratégias de implementação do sistema da monitorização eletrónica de arguidos sujeitos à medida de coação prevista no artigo 20</w:t>
      </w:r>
      <w:r w:rsidR="00416B64" w:rsidRPr="00687897">
        <w:rPr>
          <w:sz w:val="18"/>
          <w:szCs w:val="18"/>
        </w:rPr>
        <w:t>1.º do Código de Processo Penal.</w:t>
      </w:r>
    </w:p>
    <w:p w:rsidR="006B4073" w:rsidRPr="00687897" w:rsidRDefault="006B4073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Violência doméstica – Técnicos de apoio à vítima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Despacho n</w:t>
      </w:r>
      <w:r w:rsidR="009D6EB5" w:rsidRPr="00687897">
        <w:rPr>
          <w:sz w:val="18"/>
          <w:szCs w:val="18"/>
        </w:rPr>
        <w:t>.</w:t>
      </w:r>
      <w:r w:rsidRPr="00687897">
        <w:rPr>
          <w:sz w:val="18"/>
          <w:szCs w:val="18"/>
        </w:rPr>
        <w:t xml:space="preserve">º 6810-A/2010, de 15 de Abril, D.R. (II série) de 16 de Abril (suplemento): – </w:t>
      </w:r>
      <w:r w:rsidR="00386D84" w:rsidRPr="00687897">
        <w:rPr>
          <w:sz w:val="18"/>
          <w:szCs w:val="18"/>
        </w:rPr>
        <w:t>diploma que d</w:t>
      </w:r>
      <w:r w:rsidRPr="00687897">
        <w:rPr>
          <w:sz w:val="18"/>
          <w:szCs w:val="18"/>
        </w:rPr>
        <w:t>efine, no âmbito do artigo 83</w:t>
      </w:r>
      <w:r w:rsidR="009D6EB5" w:rsidRPr="00687897">
        <w:rPr>
          <w:sz w:val="18"/>
          <w:szCs w:val="18"/>
        </w:rPr>
        <w:t>.</w:t>
      </w:r>
      <w:r w:rsidRPr="00687897">
        <w:rPr>
          <w:sz w:val="18"/>
          <w:szCs w:val="18"/>
        </w:rPr>
        <w:t>º da Lei n</w:t>
      </w:r>
      <w:r w:rsidR="009D6EB5" w:rsidRPr="00687897">
        <w:rPr>
          <w:sz w:val="18"/>
          <w:szCs w:val="18"/>
        </w:rPr>
        <w:t>.º 112/2009, de 16 de s</w:t>
      </w:r>
      <w:r w:rsidRPr="00687897">
        <w:rPr>
          <w:sz w:val="18"/>
          <w:szCs w:val="18"/>
        </w:rPr>
        <w:t xml:space="preserve">etembro, os requisitos e qualificações necessários à habilitação </w:t>
      </w:r>
      <w:r w:rsidR="00416B64" w:rsidRPr="00687897">
        <w:rPr>
          <w:sz w:val="18"/>
          <w:szCs w:val="18"/>
        </w:rPr>
        <w:t>dos técnicos de apoio à vítima.</w:t>
      </w:r>
    </w:p>
    <w:p w:rsidR="0083474C" w:rsidRPr="00687897" w:rsidRDefault="0083474C" w:rsidP="0083474C">
      <w:pPr>
        <w:pStyle w:val="Bullet"/>
        <w:numPr>
          <w:ilvl w:val="0"/>
          <w:numId w:val="0"/>
        </w:numPr>
        <w:spacing w:before="60" w:after="0" w:line="240" w:lineRule="auto"/>
        <w:ind w:left="360" w:hanging="360"/>
        <w:contextualSpacing w:val="0"/>
        <w:jc w:val="both"/>
        <w:rPr>
          <w:sz w:val="18"/>
          <w:szCs w:val="18"/>
        </w:rPr>
      </w:pPr>
    </w:p>
    <w:tbl>
      <w:tblPr>
        <w:tblW w:w="0" w:type="auto"/>
        <w:shd w:val="clear" w:color="auto" w:fill="3E95D4"/>
        <w:tblLook w:val="04A0" w:firstRow="1" w:lastRow="0" w:firstColumn="1" w:lastColumn="0" w:noHBand="0" w:noVBand="1"/>
      </w:tblPr>
      <w:tblGrid>
        <w:gridCol w:w="9747"/>
      </w:tblGrid>
      <w:tr w:rsidR="009D6EB5" w:rsidRPr="00687897" w:rsidTr="005F50DC">
        <w:trPr>
          <w:trHeight w:val="283"/>
        </w:trPr>
        <w:tc>
          <w:tcPr>
            <w:tcW w:w="9747" w:type="dxa"/>
            <w:shd w:val="clear" w:color="auto" w:fill="3E95D4"/>
            <w:vAlign w:val="center"/>
          </w:tcPr>
          <w:p w:rsidR="009D6EB5" w:rsidRPr="00687897" w:rsidRDefault="009D6EB5" w:rsidP="0083474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Legislação na área não discriminação em razão da deficiência</w:t>
            </w:r>
          </w:p>
        </w:tc>
      </w:tr>
    </w:tbl>
    <w:p w:rsidR="007E5168" w:rsidRPr="00687897" w:rsidRDefault="007E5168" w:rsidP="0083474C">
      <w:pPr>
        <w:pStyle w:val="Bullet"/>
        <w:numPr>
          <w:ilvl w:val="0"/>
          <w:numId w:val="0"/>
        </w:numPr>
        <w:spacing w:before="60" w:after="0" w:line="240" w:lineRule="auto"/>
        <w:ind w:left="360" w:hanging="360"/>
        <w:contextualSpacing w:val="0"/>
        <w:jc w:val="both"/>
        <w:rPr>
          <w:sz w:val="18"/>
          <w:szCs w:val="18"/>
        </w:rPr>
      </w:pPr>
    </w:p>
    <w:p w:rsidR="009D6EB5" w:rsidRPr="00687897" w:rsidRDefault="009D6EB5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Bases gerais </w:t>
      </w:r>
    </w:p>
    <w:p w:rsidR="009D6EB5" w:rsidRPr="00687897" w:rsidRDefault="00386D84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Lei nº 38/2004, de 18 de agosto </w:t>
      </w:r>
      <w:r w:rsidR="009D6EB5" w:rsidRPr="00687897">
        <w:rPr>
          <w:sz w:val="18"/>
          <w:szCs w:val="18"/>
        </w:rPr>
        <w:t xml:space="preserve">– </w:t>
      </w:r>
      <w:r w:rsidRPr="00687897">
        <w:rPr>
          <w:sz w:val="18"/>
          <w:szCs w:val="18"/>
        </w:rPr>
        <w:t>diploma que d</w:t>
      </w:r>
      <w:r w:rsidR="009D6EB5" w:rsidRPr="00687897">
        <w:rPr>
          <w:sz w:val="18"/>
          <w:szCs w:val="18"/>
        </w:rPr>
        <w:t>efine as bases gerais do regime jurídico da prevenção, habilitação, reabilitação e participação da pessoa com deficiência.</w:t>
      </w:r>
    </w:p>
    <w:p w:rsidR="00A116BC" w:rsidRPr="00687897" w:rsidRDefault="00A116BC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Código do Trabalho, aprovado pela Lei n.º 7/2009, de 12 de fevereiro, na sua atual redação.</w:t>
      </w:r>
    </w:p>
    <w:p w:rsidR="009D6EB5" w:rsidRPr="00687897" w:rsidRDefault="009D6EB5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Igualdade no acesso ao emprego e à formação</w:t>
      </w:r>
    </w:p>
    <w:p w:rsidR="009D6EB5" w:rsidRPr="00687897" w:rsidRDefault="00371711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hyperlink r:id="rId9" w:tgtFrame="_blank" w:tooltip="Link para • Decreto-lei n.º 290/2009, de 12 de outubro" w:history="1">
        <w:r w:rsidR="009D6EB5" w:rsidRPr="00687897">
          <w:rPr>
            <w:sz w:val="18"/>
            <w:szCs w:val="18"/>
          </w:rPr>
          <w:t>Decreto-lei n.º 290/2009, de 12 de outubro</w:t>
        </w:r>
      </w:hyperlink>
      <w:r w:rsidR="009D6EB5" w:rsidRPr="00687897">
        <w:rPr>
          <w:sz w:val="18"/>
          <w:szCs w:val="18"/>
        </w:rPr>
        <w:t xml:space="preserve">, com as alterações introduzidas pela </w:t>
      </w:r>
      <w:hyperlink r:id="rId10" w:tgtFrame="_blank" w:tooltip="Link para lei n.º 24/2011, de 16 de junho" w:history="1">
        <w:r w:rsidR="009D6EB5" w:rsidRPr="00687897">
          <w:rPr>
            <w:sz w:val="18"/>
            <w:szCs w:val="18"/>
          </w:rPr>
          <w:t>lei n.º 24/2011, de 16 de junho</w:t>
        </w:r>
      </w:hyperlink>
      <w:r w:rsidR="009D6EB5" w:rsidRPr="00687897">
        <w:rPr>
          <w:sz w:val="18"/>
          <w:szCs w:val="18"/>
        </w:rPr>
        <w:t xml:space="preserve">, pelo Decreto-lei n.º 131/2013, de 11 de setembro e pelo </w:t>
      </w:r>
      <w:hyperlink r:id="rId11" w:history="1">
        <w:r w:rsidR="009D6EB5" w:rsidRPr="00687897">
          <w:rPr>
            <w:sz w:val="18"/>
            <w:szCs w:val="18"/>
          </w:rPr>
          <w:t>Decreto-lei n.º 108/2015, de 17 de junho</w:t>
        </w:r>
      </w:hyperlink>
      <w:r w:rsidR="00386D84" w:rsidRPr="00687897">
        <w:rPr>
          <w:sz w:val="18"/>
          <w:szCs w:val="18"/>
        </w:rPr>
        <w:t xml:space="preserve">, que o republica </w:t>
      </w:r>
      <w:r w:rsidR="009D6EB5" w:rsidRPr="00687897">
        <w:rPr>
          <w:sz w:val="18"/>
          <w:szCs w:val="18"/>
        </w:rPr>
        <w:t>–</w:t>
      </w:r>
      <w:r w:rsidR="00386D84" w:rsidRPr="00687897">
        <w:rPr>
          <w:sz w:val="18"/>
          <w:szCs w:val="18"/>
        </w:rPr>
        <w:t xml:space="preserve"> diploma que c</w:t>
      </w:r>
      <w:r w:rsidR="009D6EB5" w:rsidRPr="00687897">
        <w:rPr>
          <w:sz w:val="18"/>
          <w:szCs w:val="18"/>
        </w:rPr>
        <w:t xml:space="preserve">ria o Programa de </w:t>
      </w:r>
      <w:r w:rsidR="00386D84" w:rsidRPr="00687897">
        <w:rPr>
          <w:sz w:val="18"/>
          <w:szCs w:val="18"/>
        </w:rPr>
        <w:t>E</w:t>
      </w:r>
      <w:r w:rsidR="009D6EB5" w:rsidRPr="00687897">
        <w:rPr>
          <w:sz w:val="18"/>
          <w:szCs w:val="18"/>
        </w:rPr>
        <w:t xml:space="preserve">mprego e </w:t>
      </w:r>
      <w:r w:rsidR="00386D84" w:rsidRPr="00687897">
        <w:rPr>
          <w:sz w:val="18"/>
          <w:szCs w:val="18"/>
        </w:rPr>
        <w:t>A</w:t>
      </w:r>
      <w:r w:rsidR="009D6EB5" w:rsidRPr="00687897">
        <w:rPr>
          <w:sz w:val="18"/>
          <w:szCs w:val="18"/>
        </w:rPr>
        <w:t>poio à Qualificação das Pessoas com Deficiência e Incapacidade e define o regime de concessão de apoio técnico e financeiro para o desenvolvimento das políticas de emprego e apoio à qualificação das pessoas com deficiência e incapacidade</w:t>
      </w:r>
      <w:r w:rsidR="00416B64" w:rsidRPr="00687897">
        <w:rPr>
          <w:sz w:val="18"/>
          <w:szCs w:val="18"/>
        </w:rPr>
        <w:t>.</w:t>
      </w:r>
    </w:p>
    <w:p w:rsidR="009D6EB5" w:rsidRPr="00687897" w:rsidRDefault="00371711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hyperlink r:id="rId12" w:history="1">
        <w:r w:rsidR="009D6EB5" w:rsidRPr="00687897">
          <w:rPr>
            <w:sz w:val="18"/>
            <w:szCs w:val="18"/>
          </w:rPr>
          <w:t>Despacho n.º 8376-B/2015, de 30 de julho</w:t>
        </w:r>
      </w:hyperlink>
      <w:r w:rsidR="009D6EB5" w:rsidRPr="00687897">
        <w:rPr>
          <w:sz w:val="18"/>
          <w:szCs w:val="18"/>
        </w:rPr>
        <w:t>, que define os aspetos técnicos necessários à execução do Programa de emprego e apoio à qualificação das pessoas com deficiência e incapacidade</w:t>
      </w:r>
      <w:r w:rsidR="00416B64" w:rsidRPr="00687897">
        <w:rPr>
          <w:sz w:val="18"/>
          <w:szCs w:val="18"/>
        </w:rPr>
        <w:t>.</w:t>
      </w:r>
    </w:p>
    <w:p w:rsidR="009D6EB5" w:rsidRPr="00687897" w:rsidRDefault="009D6EB5" w:rsidP="0083474C">
      <w:pPr>
        <w:pStyle w:val="Bullet"/>
        <w:numPr>
          <w:ilvl w:val="0"/>
          <w:numId w:val="0"/>
        </w:numPr>
        <w:spacing w:before="60" w:after="0" w:line="240" w:lineRule="auto"/>
        <w:ind w:left="360" w:hanging="360"/>
        <w:contextualSpacing w:val="0"/>
        <w:jc w:val="both"/>
        <w:rPr>
          <w:sz w:val="18"/>
          <w:szCs w:val="18"/>
        </w:rPr>
      </w:pPr>
    </w:p>
    <w:sectPr w:rsidR="009D6EB5" w:rsidRPr="00687897" w:rsidSect="00243937">
      <w:headerReference w:type="default" r:id="rId13"/>
      <w:footerReference w:type="default" r:id="rId14"/>
      <w:pgSz w:w="11906" w:h="16838" w:code="9"/>
      <w:pgMar w:top="1701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43E" w:rsidRDefault="000B643E" w:rsidP="004F0B62">
      <w:pPr>
        <w:spacing w:after="0" w:line="240" w:lineRule="auto"/>
      </w:pPr>
      <w:r>
        <w:separator/>
      </w:r>
    </w:p>
  </w:endnote>
  <w:endnote w:type="continuationSeparator" w:id="0">
    <w:p w:rsidR="000B643E" w:rsidRDefault="000B643E" w:rsidP="004F0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103"/>
      <w:gridCol w:w="5103"/>
    </w:tblGrid>
    <w:tr w:rsidR="00243937" w:rsidRPr="00243937" w:rsidTr="00836DAF">
      <w:trPr>
        <w:jc w:val="center"/>
      </w:trPr>
      <w:tc>
        <w:tcPr>
          <w:tcW w:w="5103" w:type="dxa"/>
          <w:vAlign w:val="center"/>
        </w:tcPr>
        <w:p w:rsidR="00243937" w:rsidRPr="00243937" w:rsidRDefault="00243937" w:rsidP="00836DAF">
          <w:pPr>
            <w:pStyle w:val="Rodap"/>
            <w:tabs>
              <w:tab w:val="right" w:pos="9120"/>
            </w:tabs>
            <w:jc w:val="both"/>
            <w:rPr>
              <w:sz w:val="18"/>
              <w:szCs w:val="18"/>
            </w:rPr>
          </w:pPr>
          <w:r w:rsidRPr="00243937">
            <w:rPr>
              <w:rStyle w:val="Nmerodepgina"/>
              <w:sz w:val="18"/>
              <w:szCs w:val="18"/>
            </w:rPr>
            <w:fldChar w:fldCharType="begin"/>
          </w:r>
          <w:r w:rsidRPr="00243937">
            <w:rPr>
              <w:rStyle w:val="Nmerodepgina"/>
              <w:sz w:val="18"/>
              <w:szCs w:val="18"/>
            </w:rPr>
            <w:instrText xml:space="preserve"> PAGE </w:instrText>
          </w:r>
          <w:r w:rsidRPr="00243937">
            <w:rPr>
              <w:rStyle w:val="Nmerodepgina"/>
              <w:sz w:val="18"/>
              <w:szCs w:val="18"/>
            </w:rPr>
            <w:fldChar w:fldCharType="separate"/>
          </w:r>
          <w:r w:rsidR="00371711">
            <w:rPr>
              <w:rStyle w:val="Nmerodepgina"/>
              <w:noProof/>
              <w:sz w:val="18"/>
              <w:szCs w:val="18"/>
            </w:rPr>
            <w:t>1</w:t>
          </w:r>
          <w:r w:rsidRPr="00243937">
            <w:rPr>
              <w:rStyle w:val="Nmerodepgina"/>
              <w:sz w:val="18"/>
              <w:szCs w:val="18"/>
            </w:rPr>
            <w:fldChar w:fldCharType="end"/>
          </w:r>
          <w:r w:rsidRPr="00243937">
            <w:rPr>
              <w:rStyle w:val="Nmerodepgina"/>
              <w:sz w:val="18"/>
              <w:szCs w:val="18"/>
            </w:rPr>
            <w:t>/</w:t>
          </w:r>
          <w:r w:rsidRPr="00243937">
            <w:rPr>
              <w:rStyle w:val="Nmerodepgina"/>
              <w:sz w:val="18"/>
              <w:szCs w:val="18"/>
            </w:rPr>
            <w:fldChar w:fldCharType="begin"/>
          </w:r>
          <w:r w:rsidRPr="00243937">
            <w:rPr>
              <w:rStyle w:val="Nmerodepgina"/>
              <w:sz w:val="18"/>
              <w:szCs w:val="18"/>
            </w:rPr>
            <w:instrText xml:space="preserve"> NUMPAGES </w:instrText>
          </w:r>
          <w:r w:rsidRPr="00243937">
            <w:rPr>
              <w:rStyle w:val="Nmerodepgina"/>
              <w:sz w:val="18"/>
              <w:szCs w:val="18"/>
            </w:rPr>
            <w:fldChar w:fldCharType="separate"/>
          </w:r>
          <w:r w:rsidR="00371711">
            <w:rPr>
              <w:rStyle w:val="Nmerodepgina"/>
              <w:noProof/>
              <w:sz w:val="18"/>
              <w:szCs w:val="18"/>
            </w:rPr>
            <w:t>6</w:t>
          </w:r>
          <w:r w:rsidRPr="00243937">
            <w:rPr>
              <w:rStyle w:val="Nmerodepgina"/>
              <w:sz w:val="18"/>
              <w:szCs w:val="18"/>
            </w:rPr>
            <w:fldChar w:fldCharType="end"/>
          </w:r>
        </w:p>
      </w:tc>
      <w:tc>
        <w:tcPr>
          <w:tcW w:w="5103" w:type="dxa"/>
          <w:vAlign w:val="center"/>
        </w:tcPr>
        <w:p w:rsidR="00243937" w:rsidRPr="00243937" w:rsidRDefault="00243937" w:rsidP="00836DAF">
          <w:pPr>
            <w:pStyle w:val="Rodap"/>
            <w:tabs>
              <w:tab w:val="right" w:pos="9120"/>
            </w:tabs>
            <w:jc w:val="right"/>
            <w:rPr>
              <w:sz w:val="18"/>
              <w:szCs w:val="18"/>
            </w:rPr>
          </w:pPr>
          <w:r w:rsidRPr="00243937">
            <w:rPr>
              <w:noProof/>
              <w:sz w:val="18"/>
              <w:szCs w:val="18"/>
              <w:lang w:eastAsia="pt-PT"/>
            </w:rPr>
            <w:drawing>
              <wp:inline distT="0" distB="0" distL="0" distR="0">
                <wp:extent cx="2357143" cy="360000"/>
                <wp:effectExtent l="19050" t="0" r="5057" b="0"/>
                <wp:docPr id="4" name="Imagem 3" descr="Lisboa2020_CMYK_2 (2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isboa2020_CMYK_2 (2).jpg"/>
                        <pic:cNvPicPr/>
                      </pic:nvPicPr>
                      <pic:blipFill>
                        <a:blip r:embed="rId1" cstate="print"/>
                        <a:srcRect l="3683" t="40465" r="9147" b="3953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7143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F0B62" w:rsidRPr="00243937" w:rsidRDefault="004F0B62" w:rsidP="00243937">
    <w:pPr>
      <w:pStyle w:val="Rodap"/>
      <w:jc w:val="both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43E" w:rsidRDefault="000B643E" w:rsidP="004F0B62">
      <w:pPr>
        <w:spacing w:after="0" w:line="240" w:lineRule="auto"/>
      </w:pPr>
      <w:r>
        <w:separator/>
      </w:r>
    </w:p>
  </w:footnote>
  <w:footnote w:type="continuationSeparator" w:id="0">
    <w:p w:rsidR="000B643E" w:rsidRDefault="000B643E" w:rsidP="004F0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B62" w:rsidRPr="00243937" w:rsidRDefault="00243937" w:rsidP="00243937">
    <w:pPr>
      <w:pStyle w:val="Cabealho"/>
      <w:jc w:val="both"/>
      <w:rPr>
        <w:sz w:val="18"/>
        <w:szCs w:val="18"/>
      </w:rPr>
    </w:pPr>
    <w:r w:rsidRPr="00243937">
      <w:rPr>
        <w:noProof/>
        <w:sz w:val="18"/>
        <w:szCs w:val="18"/>
        <w:lang w:eastAsia="pt-PT"/>
      </w:rPr>
      <w:drawing>
        <wp:inline distT="0" distB="0" distL="0" distR="0">
          <wp:extent cx="3170149" cy="360000"/>
          <wp:effectExtent l="19050" t="0" r="0" b="0"/>
          <wp:docPr id="2" name="Imagem 1" descr="Lisboa2020_RGB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sboa2020_RGB4.jpg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70149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21EC0"/>
    <w:multiLevelType w:val="hybridMultilevel"/>
    <w:tmpl w:val="45D4698A"/>
    <w:lvl w:ilvl="0" w:tplc="245EB64A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F85227"/>
    <w:multiLevelType w:val="hybridMultilevel"/>
    <w:tmpl w:val="64F207D2"/>
    <w:lvl w:ilvl="0" w:tplc="8C8C39D6">
      <w:start w:val="1"/>
      <w:numFmt w:val="bullet"/>
      <w:pStyle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11C33"/>
    <w:multiLevelType w:val="hybridMultilevel"/>
    <w:tmpl w:val="E8328E5A"/>
    <w:lvl w:ilvl="0" w:tplc="8C8C39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6C16DA"/>
    <w:multiLevelType w:val="hybridMultilevel"/>
    <w:tmpl w:val="B7860E3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482F04"/>
    <w:multiLevelType w:val="hybridMultilevel"/>
    <w:tmpl w:val="C7268594"/>
    <w:lvl w:ilvl="0" w:tplc="08160015">
      <w:start w:val="1"/>
      <w:numFmt w:val="upp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7A2A01"/>
    <w:multiLevelType w:val="hybridMultilevel"/>
    <w:tmpl w:val="C9C8A926"/>
    <w:lvl w:ilvl="0" w:tplc="E9C016DE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7825BC"/>
    <w:multiLevelType w:val="hybridMultilevel"/>
    <w:tmpl w:val="958A645E"/>
    <w:lvl w:ilvl="0" w:tplc="08160019">
      <w:start w:val="1"/>
      <w:numFmt w:val="lowerLetter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A70E39"/>
    <w:multiLevelType w:val="hybridMultilevel"/>
    <w:tmpl w:val="DFD0DA28"/>
    <w:lvl w:ilvl="0" w:tplc="E9F06458">
      <w:start w:val="1"/>
      <w:numFmt w:val="decimal"/>
      <w:lvlText w:val="(%1)"/>
      <w:lvlJc w:val="left"/>
      <w:pPr>
        <w:ind w:left="81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34" w:hanging="360"/>
      </w:pPr>
    </w:lvl>
    <w:lvl w:ilvl="2" w:tplc="0816001B" w:tentative="1">
      <w:start w:val="1"/>
      <w:numFmt w:val="lowerRoman"/>
      <w:lvlText w:val="%3."/>
      <w:lvlJc w:val="right"/>
      <w:pPr>
        <w:ind w:left="2254" w:hanging="180"/>
      </w:pPr>
    </w:lvl>
    <w:lvl w:ilvl="3" w:tplc="0816000F" w:tentative="1">
      <w:start w:val="1"/>
      <w:numFmt w:val="decimal"/>
      <w:lvlText w:val="%4."/>
      <w:lvlJc w:val="left"/>
      <w:pPr>
        <w:ind w:left="2974" w:hanging="360"/>
      </w:pPr>
    </w:lvl>
    <w:lvl w:ilvl="4" w:tplc="08160019" w:tentative="1">
      <w:start w:val="1"/>
      <w:numFmt w:val="lowerLetter"/>
      <w:lvlText w:val="%5."/>
      <w:lvlJc w:val="left"/>
      <w:pPr>
        <w:ind w:left="3694" w:hanging="360"/>
      </w:pPr>
    </w:lvl>
    <w:lvl w:ilvl="5" w:tplc="0816001B" w:tentative="1">
      <w:start w:val="1"/>
      <w:numFmt w:val="lowerRoman"/>
      <w:lvlText w:val="%6."/>
      <w:lvlJc w:val="right"/>
      <w:pPr>
        <w:ind w:left="4414" w:hanging="180"/>
      </w:pPr>
    </w:lvl>
    <w:lvl w:ilvl="6" w:tplc="0816000F" w:tentative="1">
      <w:start w:val="1"/>
      <w:numFmt w:val="decimal"/>
      <w:lvlText w:val="%7."/>
      <w:lvlJc w:val="left"/>
      <w:pPr>
        <w:ind w:left="5134" w:hanging="360"/>
      </w:pPr>
    </w:lvl>
    <w:lvl w:ilvl="7" w:tplc="08160019" w:tentative="1">
      <w:start w:val="1"/>
      <w:numFmt w:val="lowerLetter"/>
      <w:lvlText w:val="%8."/>
      <w:lvlJc w:val="left"/>
      <w:pPr>
        <w:ind w:left="5854" w:hanging="360"/>
      </w:pPr>
    </w:lvl>
    <w:lvl w:ilvl="8" w:tplc="0816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8">
    <w:nsid w:val="3E601806"/>
    <w:multiLevelType w:val="hybridMultilevel"/>
    <w:tmpl w:val="7A8841DE"/>
    <w:lvl w:ilvl="0" w:tplc="535C74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B00B2F"/>
    <w:multiLevelType w:val="hybridMultilevel"/>
    <w:tmpl w:val="47F63A94"/>
    <w:lvl w:ilvl="0" w:tplc="08160019">
      <w:start w:val="1"/>
      <w:numFmt w:val="lowerLetter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9A585A"/>
    <w:multiLevelType w:val="hybridMultilevel"/>
    <w:tmpl w:val="6BB8ED8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375955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515D1B1F"/>
    <w:multiLevelType w:val="hybridMultilevel"/>
    <w:tmpl w:val="45D4698A"/>
    <w:lvl w:ilvl="0" w:tplc="245EB64A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60426DA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AC3288B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5FA4597C"/>
    <w:multiLevelType w:val="hybridMultilevel"/>
    <w:tmpl w:val="5D8C36F8"/>
    <w:lvl w:ilvl="0" w:tplc="65FA8D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713E3B"/>
    <w:multiLevelType w:val="hybridMultilevel"/>
    <w:tmpl w:val="47F63A94"/>
    <w:lvl w:ilvl="0" w:tplc="08160019">
      <w:start w:val="1"/>
      <w:numFmt w:val="lowerLetter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"/>
  </w:num>
  <w:num w:numId="4">
    <w:abstractNumId w:val="8"/>
  </w:num>
  <w:num w:numId="5">
    <w:abstractNumId w:val="2"/>
  </w:num>
  <w:num w:numId="6">
    <w:abstractNumId w:val="11"/>
  </w:num>
  <w:num w:numId="7">
    <w:abstractNumId w:val="15"/>
  </w:num>
  <w:num w:numId="8">
    <w:abstractNumId w:val="13"/>
  </w:num>
  <w:num w:numId="9">
    <w:abstractNumId w:val="14"/>
  </w:num>
  <w:num w:numId="10">
    <w:abstractNumId w:val="2"/>
  </w:num>
  <w:num w:numId="11">
    <w:abstractNumId w:val="12"/>
  </w:num>
  <w:num w:numId="12">
    <w:abstractNumId w:val="3"/>
  </w:num>
  <w:num w:numId="13">
    <w:abstractNumId w:val="4"/>
  </w:num>
  <w:num w:numId="14">
    <w:abstractNumId w:val="16"/>
  </w:num>
  <w:num w:numId="15">
    <w:abstractNumId w:val="6"/>
  </w:num>
  <w:num w:numId="16">
    <w:abstractNumId w:val="0"/>
  </w:num>
  <w:num w:numId="17">
    <w:abstractNumId w:val="9"/>
  </w:num>
  <w:num w:numId="18">
    <w:abstractNumId w:val="7"/>
  </w:num>
  <w:num w:numId="19">
    <w:abstractNumId w:val="10"/>
  </w:num>
  <w:num w:numId="20">
    <w:abstractNumId w:val="5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642E"/>
    <w:rsid w:val="00060E8A"/>
    <w:rsid w:val="000630F0"/>
    <w:rsid w:val="0007537E"/>
    <w:rsid w:val="0007582B"/>
    <w:rsid w:val="00080C09"/>
    <w:rsid w:val="00082695"/>
    <w:rsid w:val="000826CE"/>
    <w:rsid w:val="000A2C07"/>
    <w:rsid w:val="000B5640"/>
    <w:rsid w:val="000B643E"/>
    <w:rsid w:val="000D11D4"/>
    <w:rsid w:val="000E0433"/>
    <w:rsid w:val="000E4D00"/>
    <w:rsid w:val="000F538E"/>
    <w:rsid w:val="00101516"/>
    <w:rsid w:val="0012435B"/>
    <w:rsid w:val="001251B5"/>
    <w:rsid w:val="0012628C"/>
    <w:rsid w:val="00127915"/>
    <w:rsid w:val="00182715"/>
    <w:rsid w:val="001B7F27"/>
    <w:rsid w:val="001E1978"/>
    <w:rsid w:val="001F34EE"/>
    <w:rsid w:val="001F4726"/>
    <w:rsid w:val="0020706B"/>
    <w:rsid w:val="00217F3D"/>
    <w:rsid w:val="002220DB"/>
    <w:rsid w:val="00243937"/>
    <w:rsid w:val="00270409"/>
    <w:rsid w:val="00271EDB"/>
    <w:rsid w:val="00273F5B"/>
    <w:rsid w:val="00296936"/>
    <w:rsid w:val="002B04A1"/>
    <w:rsid w:val="002D0D73"/>
    <w:rsid w:val="002D20DF"/>
    <w:rsid w:val="002E1F77"/>
    <w:rsid w:val="002E7DFB"/>
    <w:rsid w:val="002F577A"/>
    <w:rsid w:val="003018E1"/>
    <w:rsid w:val="003106A8"/>
    <w:rsid w:val="003117BB"/>
    <w:rsid w:val="0031287A"/>
    <w:rsid w:val="00316B3E"/>
    <w:rsid w:val="00371711"/>
    <w:rsid w:val="003858B7"/>
    <w:rsid w:val="00385BA9"/>
    <w:rsid w:val="00386D84"/>
    <w:rsid w:val="003A78D4"/>
    <w:rsid w:val="003C188E"/>
    <w:rsid w:val="003C2486"/>
    <w:rsid w:val="003C70DD"/>
    <w:rsid w:val="003D29C5"/>
    <w:rsid w:val="003D3E90"/>
    <w:rsid w:val="003F6A08"/>
    <w:rsid w:val="00416B64"/>
    <w:rsid w:val="004313B4"/>
    <w:rsid w:val="00456F10"/>
    <w:rsid w:val="0046310E"/>
    <w:rsid w:val="00472D2F"/>
    <w:rsid w:val="00483026"/>
    <w:rsid w:val="004A369A"/>
    <w:rsid w:val="004B1118"/>
    <w:rsid w:val="004B383A"/>
    <w:rsid w:val="004D57E8"/>
    <w:rsid w:val="004F0B62"/>
    <w:rsid w:val="004F1721"/>
    <w:rsid w:val="00502EA7"/>
    <w:rsid w:val="00507D99"/>
    <w:rsid w:val="00512B28"/>
    <w:rsid w:val="00513AC2"/>
    <w:rsid w:val="00513C98"/>
    <w:rsid w:val="00521060"/>
    <w:rsid w:val="005214C1"/>
    <w:rsid w:val="00526233"/>
    <w:rsid w:val="00540E1A"/>
    <w:rsid w:val="00577589"/>
    <w:rsid w:val="005A1926"/>
    <w:rsid w:val="005A5304"/>
    <w:rsid w:val="005E4840"/>
    <w:rsid w:val="005F50DC"/>
    <w:rsid w:val="005F7FA0"/>
    <w:rsid w:val="00600B93"/>
    <w:rsid w:val="0060685E"/>
    <w:rsid w:val="006208BB"/>
    <w:rsid w:val="006236D7"/>
    <w:rsid w:val="00623FAA"/>
    <w:rsid w:val="00625E4B"/>
    <w:rsid w:val="006273DF"/>
    <w:rsid w:val="00627C43"/>
    <w:rsid w:val="00657FE7"/>
    <w:rsid w:val="00671D21"/>
    <w:rsid w:val="00676302"/>
    <w:rsid w:val="00687738"/>
    <w:rsid w:val="00687897"/>
    <w:rsid w:val="00687BC1"/>
    <w:rsid w:val="00687BD1"/>
    <w:rsid w:val="00691A2F"/>
    <w:rsid w:val="006A42A3"/>
    <w:rsid w:val="006A59A6"/>
    <w:rsid w:val="006B4073"/>
    <w:rsid w:val="00705195"/>
    <w:rsid w:val="00753904"/>
    <w:rsid w:val="007572C3"/>
    <w:rsid w:val="00763295"/>
    <w:rsid w:val="00792D61"/>
    <w:rsid w:val="007A7CD2"/>
    <w:rsid w:val="007C22BF"/>
    <w:rsid w:val="007E450D"/>
    <w:rsid w:val="007E5168"/>
    <w:rsid w:val="008003BC"/>
    <w:rsid w:val="00816F12"/>
    <w:rsid w:val="00820591"/>
    <w:rsid w:val="00821812"/>
    <w:rsid w:val="00834439"/>
    <w:rsid w:val="0083474C"/>
    <w:rsid w:val="008434D9"/>
    <w:rsid w:val="00860B6C"/>
    <w:rsid w:val="008651E6"/>
    <w:rsid w:val="008711B9"/>
    <w:rsid w:val="008722E8"/>
    <w:rsid w:val="008B2205"/>
    <w:rsid w:val="008B418B"/>
    <w:rsid w:val="008D1D4B"/>
    <w:rsid w:val="008F1C76"/>
    <w:rsid w:val="0090467E"/>
    <w:rsid w:val="009047CA"/>
    <w:rsid w:val="00906014"/>
    <w:rsid w:val="0092157E"/>
    <w:rsid w:val="009310BF"/>
    <w:rsid w:val="00971BB4"/>
    <w:rsid w:val="009726E1"/>
    <w:rsid w:val="0097618F"/>
    <w:rsid w:val="00976A9B"/>
    <w:rsid w:val="009B0073"/>
    <w:rsid w:val="009C6484"/>
    <w:rsid w:val="009D6EB5"/>
    <w:rsid w:val="009E03B0"/>
    <w:rsid w:val="00A116BC"/>
    <w:rsid w:val="00A33B77"/>
    <w:rsid w:val="00A378B3"/>
    <w:rsid w:val="00A42772"/>
    <w:rsid w:val="00A74B32"/>
    <w:rsid w:val="00A87F3D"/>
    <w:rsid w:val="00A92F69"/>
    <w:rsid w:val="00A9704C"/>
    <w:rsid w:val="00AA1905"/>
    <w:rsid w:val="00AB4E4B"/>
    <w:rsid w:val="00AC252A"/>
    <w:rsid w:val="00AD0482"/>
    <w:rsid w:val="00AD1ECF"/>
    <w:rsid w:val="00AD642E"/>
    <w:rsid w:val="00AF5C91"/>
    <w:rsid w:val="00B30AC1"/>
    <w:rsid w:val="00B52496"/>
    <w:rsid w:val="00B7703E"/>
    <w:rsid w:val="00B908D2"/>
    <w:rsid w:val="00C01BDB"/>
    <w:rsid w:val="00C12030"/>
    <w:rsid w:val="00C43B9C"/>
    <w:rsid w:val="00C71A7C"/>
    <w:rsid w:val="00C743FB"/>
    <w:rsid w:val="00C8082B"/>
    <w:rsid w:val="00CA2E48"/>
    <w:rsid w:val="00CB105B"/>
    <w:rsid w:val="00CB2B33"/>
    <w:rsid w:val="00CB37B1"/>
    <w:rsid w:val="00CC3BC8"/>
    <w:rsid w:val="00CD0197"/>
    <w:rsid w:val="00CD2484"/>
    <w:rsid w:val="00D3761B"/>
    <w:rsid w:val="00D724F7"/>
    <w:rsid w:val="00D95703"/>
    <w:rsid w:val="00DB4A3D"/>
    <w:rsid w:val="00DB4B83"/>
    <w:rsid w:val="00DC1ECC"/>
    <w:rsid w:val="00DE52A8"/>
    <w:rsid w:val="00E11522"/>
    <w:rsid w:val="00E45026"/>
    <w:rsid w:val="00E82780"/>
    <w:rsid w:val="00E94D55"/>
    <w:rsid w:val="00E96D28"/>
    <w:rsid w:val="00EB29F1"/>
    <w:rsid w:val="00EB7B53"/>
    <w:rsid w:val="00EE17CE"/>
    <w:rsid w:val="00F02E79"/>
    <w:rsid w:val="00F21CEF"/>
    <w:rsid w:val="00F24F74"/>
    <w:rsid w:val="00F33955"/>
    <w:rsid w:val="00F3591D"/>
    <w:rsid w:val="00F401C6"/>
    <w:rsid w:val="00F64DA1"/>
    <w:rsid w:val="00F65C95"/>
    <w:rsid w:val="00F8302B"/>
    <w:rsid w:val="00F83B1F"/>
    <w:rsid w:val="00FA6FCE"/>
    <w:rsid w:val="00FB2749"/>
    <w:rsid w:val="00FE6F63"/>
    <w:rsid w:val="00FF14F6"/>
    <w:rsid w:val="00FF404E"/>
    <w:rsid w:val="00FF550E"/>
    <w:rsid w:val="00FF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496"/>
  </w:style>
  <w:style w:type="paragraph" w:styleId="Cabealho1">
    <w:name w:val="heading 1"/>
    <w:basedOn w:val="Normal"/>
    <w:next w:val="Normal"/>
    <w:link w:val="Cabealho1Carcter"/>
    <w:uiPriority w:val="9"/>
    <w:qFormat/>
    <w:rsid w:val="00B524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B524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3">
    <w:name w:val="heading 3"/>
    <w:basedOn w:val="Normal"/>
    <w:next w:val="Normal"/>
    <w:link w:val="Cabealho3Carcter"/>
    <w:uiPriority w:val="9"/>
    <w:unhideWhenUsed/>
    <w:qFormat/>
    <w:rsid w:val="00B524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abealho4">
    <w:name w:val="heading 4"/>
    <w:basedOn w:val="Normal"/>
    <w:next w:val="Normal"/>
    <w:link w:val="Cabealho4Carcter"/>
    <w:uiPriority w:val="9"/>
    <w:unhideWhenUsed/>
    <w:qFormat/>
    <w:rsid w:val="00B524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B524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B524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B524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B524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B524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ullet">
    <w:name w:val="Bullet"/>
    <w:basedOn w:val="PargrafodaLista"/>
    <w:link w:val="BulletCarcter"/>
    <w:rsid w:val="00B52496"/>
    <w:pPr>
      <w:numPr>
        <w:numId w:val="1"/>
      </w:numPr>
    </w:pPr>
  </w:style>
  <w:style w:type="character" w:customStyle="1" w:styleId="BulletCarcter">
    <w:name w:val="Bullet Carácter"/>
    <w:basedOn w:val="PargrafodaListaCarcter"/>
    <w:link w:val="Bullet"/>
    <w:rsid w:val="00B52496"/>
  </w:style>
  <w:style w:type="paragraph" w:styleId="PargrafodaLista">
    <w:name w:val="List Paragraph"/>
    <w:basedOn w:val="Normal"/>
    <w:link w:val="PargrafodaListaCarcter"/>
    <w:uiPriority w:val="34"/>
    <w:qFormat/>
    <w:rsid w:val="00B52496"/>
    <w:pPr>
      <w:ind w:left="720"/>
      <w:contextualSpacing/>
    </w:pPr>
  </w:style>
  <w:style w:type="paragraph" w:customStyle="1" w:styleId="BulletSuublinhado">
    <w:name w:val="Bullet Suublinhado"/>
    <w:basedOn w:val="PargrafodaLista"/>
    <w:link w:val="BulletSuublinhadoCarcter"/>
    <w:rsid w:val="00B52496"/>
    <w:pPr>
      <w:spacing w:before="120" w:after="0" w:line="360" w:lineRule="auto"/>
      <w:ind w:hanging="360"/>
    </w:pPr>
    <w:rPr>
      <w:rFonts w:cs="Arial"/>
      <w:u w:val="single"/>
    </w:rPr>
  </w:style>
  <w:style w:type="character" w:customStyle="1" w:styleId="BulletSuublinhadoCarcter">
    <w:name w:val="Bullet Suublinhado Carácter"/>
    <w:basedOn w:val="PargrafodaListaCarcter"/>
    <w:link w:val="BulletSuublinhado"/>
    <w:rsid w:val="00B52496"/>
    <w:rPr>
      <w:rFonts w:cs="Arial"/>
      <w:u w:val="single"/>
    </w:rPr>
  </w:style>
  <w:style w:type="paragraph" w:customStyle="1" w:styleId="Indentado">
    <w:name w:val="Indentado"/>
    <w:basedOn w:val="Normal"/>
    <w:link w:val="IndentadoCarcter"/>
    <w:rsid w:val="00B52496"/>
    <w:pPr>
      <w:ind w:left="708"/>
    </w:pPr>
  </w:style>
  <w:style w:type="character" w:customStyle="1" w:styleId="IndentadoCarcter">
    <w:name w:val="Indentado Carácter"/>
    <w:basedOn w:val="Tipodeletrapredefinidodopargrafo"/>
    <w:link w:val="Indentado"/>
    <w:rsid w:val="00B52496"/>
  </w:style>
  <w:style w:type="paragraph" w:customStyle="1" w:styleId="Fonte">
    <w:name w:val="Fonte"/>
    <w:basedOn w:val="Normal"/>
    <w:link w:val="FonteCarcter"/>
    <w:rsid w:val="00B52496"/>
    <w:pPr>
      <w:jc w:val="center"/>
    </w:pPr>
    <w:rPr>
      <w:sz w:val="18"/>
    </w:rPr>
  </w:style>
  <w:style w:type="character" w:customStyle="1" w:styleId="FonteCarcter">
    <w:name w:val="Fonte Carácter"/>
    <w:basedOn w:val="Tipodeletrapredefinidodopargrafo"/>
    <w:link w:val="Fonte"/>
    <w:rsid w:val="00B52496"/>
    <w:rPr>
      <w:sz w:val="18"/>
    </w:rPr>
  </w:style>
  <w:style w:type="paragraph" w:customStyle="1" w:styleId="TtuloTabela">
    <w:name w:val="TítuloTabela"/>
    <w:basedOn w:val="Indentado"/>
    <w:link w:val="TtuloTabelaCarcter"/>
    <w:rsid w:val="00B52496"/>
    <w:pPr>
      <w:ind w:left="0"/>
      <w:jc w:val="center"/>
    </w:pPr>
    <w:rPr>
      <w:b/>
      <w:sz w:val="20"/>
    </w:rPr>
  </w:style>
  <w:style w:type="character" w:customStyle="1" w:styleId="TtuloTabelaCarcter">
    <w:name w:val="TítuloTabela Carácter"/>
    <w:basedOn w:val="IndentadoCarcter"/>
    <w:link w:val="TtuloTabela"/>
    <w:rsid w:val="00B52496"/>
    <w:rPr>
      <w:b/>
      <w:sz w:val="20"/>
    </w:r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B524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rsid w:val="00B524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semiHidden/>
    <w:rsid w:val="00B524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semiHidden/>
    <w:rsid w:val="00B5249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semiHidden/>
    <w:rsid w:val="00B5249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dice1">
    <w:name w:val="toc 1"/>
    <w:basedOn w:val="Normal"/>
    <w:next w:val="Normal"/>
    <w:autoRedefine/>
    <w:uiPriority w:val="39"/>
    <w:rsid w:val="00B52496"/>
    <w:pPr>
      <w:spacing w:before="120" w:after="120"/>
    </w:pPr>
    <w:rPr>
      <w:b/>
      <w:bCs/>
      <w:caps/>
      <w:sz w:val="20"/>
      <w:szCs w:val="20"/>
    </w:rPr>
  </w:style>
  <w:style w:type="paragraph" w:styleId="ndice2">
    <w:name w:val="toc 2"/>
    <w:basedOn w:val="Normal"/>
    <w:next w:val="Normal"/>
    <w:autoRedefine/>
    <w:uiPriority w:val="39"/>
    <w:rsid w:val="00B52496"/>
    <w:pPr>
      <w:ind w:left="240"/>
    </w:pPr>
    <w:rPr>
      <w:smallCaps/>
      <w:sz w:val="20"/>
      <w:szCs w:val="20"/>
    </w:rPr>
  </w:style>
  <w:style w:type="paragraph" w:styleId="ndice3">
    <w:name w:val="toc 3"/>
    <w:basedOn w:val="Normal"/>
    <w:next w:val="Normal"/>
    <w:autoRedefine/>
    <w:uiPriority w:val="39"/>
    <w:rsid w:val="00B52496"/>
    <w:pPr>
      <w:ind w:left="480"/>
    </w:pPr>
    <w:rPr>
      <w:i/>
      <w:iCs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5249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cter"/>
    <w:uiPriority w:val="10"/>
    <w:qFormat/>
    <w:rsid w:val="00B524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B524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B524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B524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B52496"/>
    <w:rPr>
      <w:b/>
      <w:bCs/>
    </w:rPr>
  </w:style>
  <w:style w:type="character" w:styleId="nfase">
    <w:name w:val="Emphasis"/>
    <w:basedOn w:val="Tipodeletrapredefinidodopargrafo"/>
    <w:uiPriority w:val="20"/>
    <w:qFormat/>
    <w:rsid w:val="00B52496"/>
    <w:rPr>
      <w:i/>
      <w:iCs/>
    </w:rPr>
  </w:style>
  <w:style w:type="paragraph" w:styleId="SemEspaamento">
    <w:name w:val="No Spacing"/>
    <w:link w:val="SemEspaamentoCarcter"/>
    <w:uiPriority w:val="1"/>
    <w:qFormat/>
    <w:rsid w:val="00B52496"/>
    <w:pPr>
      <w:spacing w:after="0" w:line="240" w:lineRule="auto"/>
    </w:p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B52496"/>
  </w:style>
  <w:style w:type="character" w:customStyle="1" w:styleId="PargrafodaListaCarcter">
    <w:name w:val="Parágrafo da Lista Carácter"/>
    <w:basedOn w:val="Tipodeletrapredefinidodopargrafo"/>
    <w:link w:val="PargrafodaLista"/>
    <w:uiPriority w:val="34"/>
    <w:rsid w:val="00B52496"/>
  </w:style>
  <w:style w:type="paragraph" w:styleId="Citao">
    <w:name w:val="Quote"/>
    <w:basedOn w:val="Normal"/>
    <w:next w:val="Normal"/>
    <w:link w:val="CitaoCarcter"/>
    <w:uiPriority w:val="29"/>
    <w:qFormat/>
    <w:rsid w:val="00B52496"/>
    <w:rPr>
      <w:i/>
      <w:iCs/>
      <w:color w:val="000000" w:themeColor="text1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B52496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B5249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B52496"/>
    <w:rPr>
      <w:b/>
      <w:bCs/>
      <w:i/>
      <w:iCs/>
      <w:color w:val="4F81BD" w:themeColor="accent1"/>
    </w:rPr>
  </w:style>
  <w:style w:type="character" w:styleId="nfaseDiscreto">
    <w:name w:val="Subtle Emphasis"/>
    <w:aliases w:val="Ênfase Discreto1"/>
    <w:basedOn w:val="Tipodeletrapredefinidodopargrafo"/>
    <w:uiPriority w:val="19"/>
    <w:qFormat/>
    <w:rsid w:val="00B52496"/>
    <w:rPr>
      <w:i/>
      <w:iCs/>
      <w:color w:val="808080" w:themeColor="text1" w:themeTint="7F"/>
    </w:rPr>
  </w:style>
  <w:style w:type="character" w:styleId="nfaseIntenso">
    <w:name w:val="Intense Emphasis"/>
    <w:basedOn w:val="Tipodeletrapredefinidodopargrafo"/>
    <w:uiPriority w:val="21"/>
    <w:qFormat/>
    <w:rsid w:val="00B52496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B52496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B52496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B52496"/>
    <w:rPr>
      <w:b/>
      <w:bCs/>
      <w:smallCaps/>
      <w:spacing w:val="5"/>
    </w:rPr>
  </w:style>
  <w:style w:type="paragraph" w:styleId="Ttulodondice">
    <w:name w:val="TOC Heading"/>
    <w:basedOn w:val="Cabealho1"/>
    <w:next w:val="Normal"/>
    <w:uiPriority w:val="39"/>
    <w:unhideWhenUsed/>
    <w:qFormat/>
    <w:rsid w:val="00B52496"/>
    <w:pPr>
      <w:outlineLvl w:val="9"/>
    </w:pPr>
  </w:style>
  <w:style w:type="table" w:styleId="Tabelacomgrelha">
    <w:name w:val="Table Grid"/>
    <w:basedOn w:val="Tabelanormal"/>
    <w:uiPriority w:val="59"/>
    <w:rsid w:val="00AD64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507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07D9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F0B62"/>
  </w:style>
  <w:style w:type="paragraph" w:styleId="Rodap">
    <w:name w:val="footer"/>
    <w:basedOn w:val="Normal"/>
    <w:link w:val="RodapCarcter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4F0B62"/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4B1118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4B1118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4B1118"/>
    <w:rPr>
      <w:vertAlign w:val="superscript"/>
    </w:rPr>
  </w:style>
  <w:style w:type="table" w:styleId="ListaClara-Cor1">
    <w:name w:val="Light List Accent 1"/>
    <w:basedOn w:val="Tabelanormal"/>
    <w:uiPriority w:val="61"/>
    <w:rsid w:val="00AF5C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Claro-Cor1">
    <w:name w:val="Light Shading Accent 1"/>
    <w:basedOn w:val="Tabelanormal"/>
    <w:uiPriority w:val="60"/>
    <w:rsid w:val="00273F5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C8082B"/>
    <w:pPr>
      <w:spacing w:after="0" w:line="240" w:lineRule="auto"/>
    </w:pPr>
    <w:rPr>
      <w:sz w:val="20"/>
      <w:szCs w:val="20"/>
    </w:rPr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rsid w:val="00C8082B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C8082B"/>
    <w:rPr>
      <w:vertAlign w:val="superscript"/>
    </w:rPr>
  </w:style>
  <w:style w:type="table" w:styleId="SombreadoColorido-Cor5">
    <w:name w:val="Colorful Shading Accent 5"/>
    <w:basedOn w:val="Tabelanormal"/>
    <w:uiPriority w:val="71"/>
    <w:rsid w:val="0007582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Hiperligao">
    <w:name w:val="Hyperlink"/>
    <w:basedOn w:val="Tipodeletrapredefinidodopargrafo"/>
    <w:uiPriority w:val="99"/>
    <w:semiHidden/>
    <w:unhideWhenUsed/>
    <w:rsid w:val="009D6EB5"/>
    <w:rPr>
      <w:strike w:val="0"/>
      <w:dstrike w:val="0"/>
      <w:color w:val="006BB1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9D6EB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merodepgina">
    <w:name w:val="page number"/>
    <w:rsid w:val="0024393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496"/>
  </w:style>
  <w:style w:type="paragraph" w:styleId="Cabealho1">
    <w:name w:val="heading 1"/>
    <w:basedOn w:val="Normal"/>
    <w:next w:val="Normal"/>
    <w:link w:val="Cabealho1Carcter"/>
    <w:uiPriority w:val="9"/>
    <w:qFormat/>
    <w:rsid w:val="00B524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B524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3">
    <w:name w:val="heading 3"/>
    <w:basedOn w:val="Normal"/>
    <w:next w:val="Normal"/>
    <w:link w:val="Cabealho3Carcter"/>
    <w:uiPriority w:val="9"/>
    <w:unhideWhenUsed/>
    <w:qFormat/>
    <w:rsid w:val="00B524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abealho4">
    <w:name w:val="heading 4"/>
    <w:basedOn w:val="Normal"/>
    <w:next w:val="Normal"/>
    <w:link w:val="Cabealho4Carcter"/>
    <w:uiPriority w:val="9"/>
    <w:unhideWhenUsed/>
    <w:qFormat/>
    <w:rsid w:val="00B524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B524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B524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B524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B524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B524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ullet">
    <w:name w:val="Bullet"/>
    <w:basedOn w:val="PargrafodaLista"/>
    <w:link w:val="BulletCarcter"/>
    <w:rsid w:val="00B52496"/>
    <w:pPr>
      <w:numPr>
        <w:numId w:val="1"/>
      </w:numPr>
    </w:pPr>
  </w:style>
  <w:style w:type="character" w:customStyle="1" w:styleId="BulletCarcter">
    <w:name w:val="Bullet Carácter"/>
    <w:basedOn w:val="PargrafodaListaCarcter"/>
    <w:link w:val="Bullet"/>
    <w:rsid w:val="00B52496"/>
  </w:style>
  <w:style w:type="paragraph" w:styleId="PargrafodaLista">
    <w:name w:val="List Paragraph"/>
    <w:basedOn w:val="Normal"/>
    <w:link w:val="PargrafodaListaCarcter"/>
    <w:uiPriority w:val="34"/>
    <w:qFormat/>
    <w:rsid w:val="00B52496"/>
    <w:pPr>
      <w:ind w:left="720"/>
      <w:contextualSpacing/>
    </w:pPr>
  </w:style>
  <w:style w:type="paragraph" w:customStyle="1" w:styleId="BulletSuublinhado">
    <w:name w:val="Bullet Suublinhado"/>
    <w:basedOn w:val="PargrafodaLista"/>
    <w:link w:val="BulletSuublinhadoCarcter"/>
    <w:rsid w:val="00B52496"/>
    <w:pPr>
      <w:spacing w:before="120" w:after="0" w:line="360" w:lineRule="auto"/>
      <w:ind w:hanging="360"/>
    </w:pPr>
    <w:rPr>
      <w:rFonts w:cs="Arial"/>
      <w:u w:val="single"/>
    </w:rPr>
  </w:style>
  <w:style w:type="character" w:customStyle="1" w:styleId="BulletSuublinhadoCarcter">
    <w:name w:val="Bullet Suublinhado Carácter"/>
    <w:basedOn w:val="PargrafodaListaCarcter"/>
    <w:link w:val="BulletSuublinhado"/>
    <w:rsid w:val="00B52496"/>
    <w:rPr>
      <w:rFonts w:cs="Arial"/>
      <w:u w:val="single"/>
    </w:rPr>
  </w:style>
  <w:style w:type="paragraph" w:customStyle="1" w:styleId="Indentado">
    <w:name w:val="Indentado"/>
    <w:basedOn w:val="Normal"/>
    <w:link w:val="IndentadoCarcter"/>
    <w:rsid w:val="00B52496"/>
    <w:pPr>
      <w:ind w:left="708"/>
    </w:pPr>
  </w:style>
  <w:style w:type="character" w:customStyle="1" w:styleId="IndentadoCarcter">
    <w:name w:val="Indentado Carácter"/>
    <w:basedOn w:val="Tipodeletrapredefinidodopargrafo"/>
    <w:link w:val="Indentado"/>
    <w:rsid w:val="00B52496"/>
  </w:style>
  <w:style w:type="paragraph" w:customStyle="1" w:styleId="Fonte">
    <w:name w:val="Fonte"/>
    <w:basedOn w:val="Normal"/>
    <w:link w:val="FonteCarcter"/>
    <w:rsid w:val="00B52496"/>
    <w:pPr>
      <w:jc w:val="center"/>
    </w:pPr>
    <w:rPr>
      <w:sz w:val="18"/>
    </w:rPr>
  </w:style>
  <w:style w:type="character" w:customStyle="1" w:styleId="FonteCarcter">
    <w:name w:val="Fonte Carácter"/>
    <w:basedOn w:val="Tipodeletrapredefinidodopargrafo"/>
    <w:link w:val="Fonte"/>
    <w:rsid w:val="00B52496"/>
    <w:rPr>
      <w:sz w:val="18"/>
    </w:rPr>
  </w:style>
  <w:style w:type="paragraph" w:customStyle="1" w:styleId="TtuloTabela">
    <w:name w:val="TítuloTabela"/>
    <w:basedOn w:val="Indentado"/>
    <w:link w:val="TtuloTabelaCarcter"/>
    <w:rsid w:val="00B52496"/>
    <w:pPr>
      <w:ind w:left="0"/>
      <w:jc w:val="center"/>
    </w:pPr>
    <w:rPr>
      <w:b/>
      <w:sz w:val="20"/>
    </w:rPr>
  </w:style>
  <w:style w:type="character" w:customStyle="1" w:styleId="TtuloTabelaCarcter">
    <w:name w:val="TítuloTabela Carácter"/>
    <w:basedOn w:val="IndentadoCarcter"/>
    <w:link w:val="TtuloTabela"/>
    <w:rsid w:val="00B52496"/>
    <w:rPr>
      <w:b/>
      <w:sz w:val="20"/>
    </w:r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B524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rsid w:val="00B524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semiHidden/>
    <w:rsid w:val="00B524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semiHidden/>
    <w:rsid w:val="00B5249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semiHidden/>
    <w:rsid w:val="00B5249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dice1">
    <w:name w:val="toc 1"/>
    <w:basedOn w:val="Normal"/>
    <w:next w:val="Normal"/>
    <w:autoRedefine/>
    <w:uiPriority w:val="39"/>
    <w:rsid w:val="00B52496"/>
    <w:pPr>
      <w:spacing w:before="120" w:after="120"/>
    </w:pPr>
    <w:rPr>
      <w:b/>
      <w:bCs/>
      <w:caps/>
      <w:sz w:val="20"/>
      <w:szCs w:val="20"/>
    </w:rPr>
  </w:style>
  <w:style w:type="paragraph" w:styleId="ndice2">
    <w:name w:val="toc 2"/>
    <w:basedOn w:val="Normal"/>
    <w:next w:val="Normal"/>
    <w:autoRedefine/>
    <w:uiPriority w:val="39"/>
    <w:rsid w:val="00B52496"/>
    <w:pPr>
      <w:ind w:left="240"/>
    </w:pPr>
    <w:rPr>
      <w:smallCaps/>
      <w:sz w:val="20"/>
      <w:szCs w:val="20"/>
    </w:rPr>
  </w:style>
  <w:style w:type="paragraph" w:styleId="ndice3">
    <w:name w:val="toc 3"/>
    <w:basedOn w:val="Normal"/>
    <w:next w:val="Normal"/>
    <w:autoRedefine/>
    <w:uiPriority w:val="39"/>
    <w:rsid w:val="00B52496"/>
    <w:pPr>
      <w:ind w:left="480"/>
    </w:pPr>
    <w:rPr>
      <w:i/>
      <w:iCs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5249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cter"/>
    <w:uiPriority w:val="10"/>
    <w:qFormat/>
    <w:rsid w:val="00B524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B524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B524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B524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B52496"/>
    <w:rPr>
      <w:b/>
      <w:bCs/>
    </w:rPr>
  </w:style>
  <w:style w:type="character" w:styleId="nfase">
    <w:name w:val="Emphasis"/>
    <w:basedOn w:val="Tipodeletrapredefinidodopargrafo"/>
    <w:uiPriority w:val="20"/>
    <w:qFormat/>
    <w:rsid w:val="00B52496"/>
    <w:rPr>
      <w:i/>
      <w:iCs/>
    </w:rPr>
  </w:style>
  <w:style w:type="paragraph" w:styleId="SemEspaamento">
    <w:name w:val="No Spacing"/>
    <w:link w:val="SemEspaamentoCarcter"/>
    <w:uiPriority w:val="1"/>
    <w:qFormat/>
    <w:rsid w:val="00B52496"/>
    <w:pPr>
      <w:spacing w:after="0" w:line="240" w:lineRule="auto"/>
    </w:p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B52496"/>
  </w:style>
  <w:style w:type="character" w:customStyle="1" w:styleId="PargrafodaListaCarcter">
    <w:name w:val="Parágrafo da Lista Carácter"/>
    <w:basedOn w:val="Tipodeletrapredefinidodopargrafo"/>
    <w:link w:val="PargrafodaLista"/>
    <w:uiPriority w:val="34"/>
    <w:rsid w:val="00B52496"/>
  </w:style>
  <w:style w:type="paragraph" w:styleId="Citao">
    <w:name w:val="Quote"/>
    <w:basedOn w:val="Normal"/>
    <w:next w:val="Normal"/>
    <w:link w:val="CitaoCarcter"/>
    <w:uiPriority w:val="29"/>
    <w:qFormat/>
    <w:rsid w:val="00B52496"/>
    <w:rPr>
      <w:i/>
      <w:iCs/>
      <w:color w:val="000000" w:themeColor="text1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B52496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B5249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B52496"/>
    <w:rPr>
      <w:b/>
      <w:bCs/>
      <w:i/>
      <w:iCs/>
      <w:color w:val="4F81BD" w:themeColor="accent1"/>
    </w:rPr>
  </w:style>
  <w:style w:type="character" w:styleId="nfaseDiscreto">
    <w:name w:val="Subtle Emphasis"/>
    <w:aliases w:val="Ênfase Discreto1"/>
    <w:basedOn w:val="Tipodeletrapredefinidodopargrafo"/>
    <w:uiPriority w:val="19"/>
    <w:qFormat/>
    <w:rsid w:val="00B52496"/>
    <w:rPr>
      <w:i/>
      <w:iCs/>
      <w:color w:val="808080" w:themeColor="text1" w:themeTint="7F"/>
    </w:rPr>
  </w:style>
  <w:style w:type="character" w:styleId="nfaseIntenso">
    <w:name w:val="Intense Emphasis"/>
    <w:basedOn w:val="Tipodeletrapredefinidodopargrafo"/>
    <w:uiPriority w:val="21"/>
    <w:qFormat/>
    <w:rsid w:val="00B52496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B52496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B52496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B52496"/>
    <w:rPr>
      <w:b/>
      <w:bCs/>
      <w:smallCaps/>
      <w:spacing w:val="5"/>
    </w:rPr>
  </w:style>
  <w:style w:type="paragraph" w:styleId="Ttulodondice">
    <w:name w:val="TOC Heading"/>
    <w:basedOn w:val="Cabealho1"/>
    <w:next w:val="Normal"/>
    <w:uiPriority w:val="39"/>
    <w:unhideWhenUsed/>
    <w:qFormat/>
    <w:rsid w:val="00B52496"/>
    <w:pPr>
      <w:outlineLvl w:val="9"/>
    </w:pPr>
  </w:style>
  <w:style w:type="table" w:styleId="Tabelacomgrelha">
    <w:name w:val="Table Grid"/>
    <w:basedOn w:val="Tabelanormal"/>
    <w:uiPriority w:val="59"/>
    <w:rsid w:val="00AD64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507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07D9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F0B62"/>
  </w:style>
  <w:style w:type="paragraph" w:styleId="Rodap">
    <w:name w:val="footer"/>
    <w:basedOn w:val="Normal"/>
    <w:link w:val="RodapCarcter"/>
    <w:uiPriority w:val="99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4F0B62"/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4B1118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4B1118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4B1118"/>
    <w:rPr>
      <w:vertAlign w:val="superscript"/>
    </w:rPr>
  </w:style>
  <w:style w:type="table" w:styleId="ListaClara-Cor1">
    <w:name w:val="Light List Accent 1"/>
    <w:basedOn w:val="Tabelanormal"/>
    <w:uiPriority w:val="61"/>
    <w:rsid w:val="00AF5C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Claro-Cor1">
    <w:name w:val="Light Shading Accent 1"/>
    <w:basedOn w:val="Tabelanormal"/>
    <w:uiPriority w:val="60"/>
    <w:rsid w:val="00273F5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C8082B"/>
    <w:pPr>
      <w:spacing w:after="0" w:line="240" w:lineRule="auto"/>
    </w:pPr>
    <w:rPr>
      <w:sz w:val="20"/>
      <w:szCs w:val="20"/>
    </w:rPr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rsid w:val="00C8082B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C8082B"/>
    <w:rPr>
      <w:vertAlign w:val="superscript"/>
    </w:rPr>
  </w:style>
  <w:style w:type="table" w:styleId="SombreadoColorido-Cor5">
    <w:name w:val="Colorful Shading Accent 5"/>
    <w:basedOn w:val="Tabelanormal"/>
    <w:uiPriority w:val="71"/>
    <w:rsid w:val="0007582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Hiperligao">
    <w:name w:val="Hyperlink"/>
    <w:basedOn w:val="Tipodeletrapredefinidodopargrafo"/>
    <w:uiPriority w:val="99"/>
    <w:semiHidden/>
    <w:unhideWhenUsed/>
    <w:rsid w:val="009D6EB5"/>
    <w:rPr>
      <w:strike w:val="0"/>
      <w:dstrike w:val="0"/>
      <w:color w:val="006BB1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9D6EB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9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8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6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2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09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20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36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08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706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638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947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1084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8425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44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re.pt/application/file/6990640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re.pt/application/file/67508037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dre.pt/pdf1s/2011/06/11500/0317703178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re.pt/pdf1s/2009/10/19700/0748207497.pdf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F6098-F370-4DBA-A8F6-57BA827D1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6</Pages>
  <Words>3163</Words>
  <Characters>17082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</dc:creator>
  <cp:lastModifiedBy>PORL</cp:lastModifiedBy>
  <cp:revision>17</cp:revision>
  <cp:lastPrinted>2015-09-08T17:20:00Z</cp:lastPrinted>
  <dcterms:created xsi:type="dcterms:W3CDTF">2015-09-08T16:06:00Z</dcterms:created>
  <dcterms:modified xsi:type="dcterms:W3CDTF">2019-08-06T15:22:00Z</dcterms:modified>
</cp:coreProperties>
</file>